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Moonbeam Bakery - Sparkle Crumb Brand Clash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Moonbeam Bakery - Sparkle Crumb Brand Clash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Robin Flores asked counsel to prioritize the immediate decision and summarize remaining information gaps.</w:t>
      </w:r>
    </w:p>
    <w:p>
      <w:r>
        <w:t>Follow-up call: Noah Bishop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Build trademark clearance and usage evidence checklist.</w:t>
      </w:r>
    </w:p>
    <w:p>
      <w:r>
        <w:t>Week 2: Inventory packaging, web, and social uses of the proposed mark.</w:t>
      </w:r>
    </w:p>
    <w:p>
      <w:r>
        <w:t>Weeks 3–4: Draft non-admission response and holiday-print decision memo.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Create a brand-risk matrix and a practical next-step plan for the founder before the holiday packaging deadline.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Moonbeam Bakery - Sparkle Crumb Brand Clash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Moonbeam Bakery - Sparkle Crumb Brand Clash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