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Neighborly Fence - Garden and Dog-Run Mediation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Neighborly Fence - Garden and Dog-Run Mediation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Alex Monroe reported the central issue: A charming community garden, an energetic rescue dog, and six inches of fence line have turned two friendly neighbors into people who no longer wave across the driveway.</w:t>
      </w:r>
    </w:p>
    <w:p>
      <w:r>
        <w:t>Day 1 - Counsel requested the first preservation set and assigned prepare neutral chronology and document exchange list.</w:t>
      </w:r>
    </w:p>
    <w:p>
      <w:r>
        <w:t>Day 3 - Owen Dale confirmed the internal records owner and outstanding information gaps.</w:t>
      </w:r>
    </w:p>
    <w:p>
      <w:r>
        <w:t>Next milestone - Complete draft mediation agenda, caucus questions, and settlement options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Alex Monroe (Mediation Participant).</w:t>
      </w:r>
    </w:p>
    <w:p>
      <w:r>
        <w:t>Records and billing contact: Owen Dale (Mediation Coordinator).</w:t>
      </w:r>
    </w:p>
    <w:p>
      <w:r>
        <w:t>External stakeholder: Casey Bell for Bell Household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Prepare a constructive mediation agenda, identify the information gaps, and outline settlement terms that let both neighbors enjoy their yards again.</w:t>
      </w:r>
    </w:p>
    <w:p>
      <w:r>
        <w:t>Immediate action: Prepare neutral chronology and document exchange list.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Neighborly Fence - Garden and Dog-Run Mediation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Neighborly Fence - Garden and Dog-Run Mediation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