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Parker - Summer Festival Citation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Parker - Summer Festival Citation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Jordan Parker reported the central issue: A summer festival ends with a citation, a lost phone, and two different accounts of whether a barricade was visible in the crowd.</w:t>
      </w:r>
    </w:p>
    <w:p>
      <w:r>
        <w:t>Day 1 - Counsel requested the first preservation set and assigned preserve venue, phone, and witness evidence.</w:t>
      </w:r>
    </w:p>
    <w:p>
      <w:r>
        <w:t>Day 3 - Tess Jordan confirmed the internal records owner and outstanding information gaps.</w:t>
      </w:r>
    </w:p>
    <w:p>
      <w:r>
        <w:t>Next milestone - Complete create citation timeline and discovery request checklist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Jordan Parker (Client).</w:t>
      </w:r>
    </w:p>
    <w:p>
      <w:r>
        <w:t>Records and billing contact: Tess Jordan (Emergency Contact).</w:t>
      </w:r>
    </w:p>
    <w:p>
      <w:r>
        <w:t>External stakeholder: Taylor Brooks for Lakeview Municipal Prosecutor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Build an initial defense-case checklist that prioritizes evidence preservation, court preparation, and client communications.</w:t>
      </w:r>
    </w:p>
    <w:p>
      <w:r>
        <w:t>Immediate action: Preserve venue, phone, and witness evidence.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Parker - Summer Festival Citation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- Summer Festival Citation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