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Riverstone - School-Year Parenting Plan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Riverstone - School-Year Parenting Plan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Avery Riverstone reported the central issue: Two parents agree that their daughter loves robotics club and her rescue rabbit, but they need a workable school-year schedule before a job transfer changes the weekday routine.</w:t>
      </w:r>
    </w:p>
    <w:p>
      <w:r>
        <w:t>Day 1 - Counsel requested the first preservation set and assigned build parenting-time calendar and holiday options.</w:t>
      </w:r>
    </w:p>
    <w:p>
      <w:r>
        <w:t>Day 3 - Micah Stone confirmed the internal records owner and outstanding information gaps.</w:t>
      </w:r>
    </w:p>
    <w:p>
      <w:r>
        <w:t>Next milestone - Complete prepare mediation issue list and communication protocol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Avery Riverstone (Client).</w:t>
      </w:r>
    </w:p>
    <w:p>
      <w:r>
        <w:t>Records and billing contact: Micah Stone (Family Coordinator).</w:t>
      </w:r>
    </w:p>
    <w:p>
      <w:r>
        <w:t>External stakeholder: Morgan Riverstone for Morgan Riverstone Household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Turn these facts into a neutral mediation agenda and a child-centered parenting-plan checklist without giving jurisdiction-specific legal advice.</w:t>
      </w:r>
    </w:p>
    <w:p>
      <w:r>
        <w:t>Immediate action: Build parenting-time calendar and holiday options.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Riverstone - School-Year Parenting Plan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Riverstone - School-Year Parenting Plan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