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Sunbeam Drone - Rooftop Delivery Demand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Sunbeam Drone - Rooftop Delivery Demand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Jamie Patel reported the central issue: A fictional rooftop delivery pilot ended with a damaged greenhouse, a viral video, and a demand letter that arrives before the insurer has finished its factual review.</w:t>
      </w:r>
    </w:p>
    <w:p>
      <w:r>
        <w:t>Day 1 - Counsel requested the first preservation set and assigned issue legal hold and preserve flight, marketing, and support records.</w:t>
      </w:r>
    </w:p>
    <w:p>
      <w:r>
        <w:t>Day 3 - Lee Wallace confirmed the internal records owner and outstanding information gaps.</w:t>
      </w:r>
    </w:p>
    <w:p>
      <w:r>
        <w:t>Next milestone - Complete map contract, insurance, and agency-notice deadlines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Jamie Patel (Director of Operations).</w:t>
      </w:r>
    </w:p>
    <w:p>
      <w:r>
        <w:t>Records and billing contact: Lee Wallace (Risk Manager).</w:t>
      </w:r>
    </w:p>
    <w:p>
      <w:r>
        <w:t>External stakeholder: Sage Carter for Riverside Roof Gardens, LLC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Build a claim chronology, identify the preservation steps, and draft a measured response that does not concede the disputed marketing statement.</w:t>
      </w:r>
    </w:p>
    <w:p>
      <w:r>
        <w:t>Immediate action: Issue legal hold and preserve flight, marketing, and support records.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Sunbeam Drone - Rooftop Delivery Demand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Sunbeam Drone - Rooftop Delivery Demand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