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TrailTrack - Kids Adventure Watch Launch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TrailTrack - Kids Adventure Watch Launch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Jordan Kim reported the central issue: The product team wants a fun September launch for a kids' hiking watch with location sharing, parent challenges, and a battery claim that marketing describes as 'weekend-proof.'</w:t>
      </w:r>
    </w:p>
    <w:p>
      <w:r>
        <w:t>Day 1 - Counsel requested the first preservation set and assigned review launch claims against test evidence and product behavior.</w:t>
      </w:r>
    </w:p>
    <w:p>
      <w:r>
        <w:t>Day 3 - Mina Park confirmed the internal records owner and outstanding information gaps.</w:t>
      </w:r>
    </w:p>
    <w:p>
      <w:r>
        <w:t>Next milestone - Complete draft parent-facing location and trial disclosures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Jordan Kim (Vice President of Product).</w:t>
      </w:r>
    </w:p>
    <w:p>
      <w:r>
        <w:t>Records and billing contact: Mina Park (Product Counsel Liaison).</w:t>
      </w:r>
    </w:p>
    <w:p>
      <w:r>
        <w:t>External stakeholder: Avery Dawson for CampTrail Retail Group, Inc.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Turn this launch brief into a prioritized product legal checklist, with specific edits to the battery and location-sharing claims.</w:t>
      </w:r>
    </w:p>
    <w:p>
      <w:r>
        <w:t>Immediate action: Review launch claims against test evidence and product behavior.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TrailTrack - Kids Adventure Watch Launch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TrailTrack - Kids Adventure Watch Launch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