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Monthly Legal Request and Contract Calendar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Redwood Outdoor Supply, Inc. - August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Redwood Outdoor Supply - Outside General Counsel Retainer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12,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This synthetic client update is designed for recurring triage, task creation, renewal tracking, and a monthly outside-counsel portfolio summary.</w:t>
      </w:r>
    </w:p>
    <w:p>
      <w:pPr>
        <w:pStyle w:val="Heading1"/>
        <w:numPr>
          <w:ilvl w:val="0"/>
          <w:numId w:val="10"/>
        </w:numPr>
      </w:pPr>
      <w:r>
        <w:t>New Requests</w:t>
      </w:r>
    </w:p>
    <w:p>
      <w:r>
        <w:t>PinePeak Distribution Amendment - Business owner: Sales. Counterparty requests exclusive Midwest distribution, a three-year term, and a $2.2 million annual minimum. Desired signature date: August 28. Flag exclusivity, forecast remedies, termination rights, and channel conflict.</w:t>
      </w:r>
    </w:p>
    <w:p>
      <w:r>
        <w:t>TrailForge Influencer Agreement - Business owner: Marketing. Review content approval, FTC disclosure responsibility, morality clause, name/image rights, and usage period. Campaign launches September 10. Budget: $85,000.</w:t>
      </w:r>
    </w:p>
    <w:p>
      <w:r>
        <w:t>Warehouse Automation Pilot - Business owner: Operations. Vendor requests access to inventory and employee workflow data. Pilot starts October 1. Confirm data restrictions, security review, equipment risk, insurance, and pilot-to-production conversion terms.</w:t>
      </w:r>
    </w:p>
    <w:p>
      <w:pPr>
        <w:pStyle w:val="Heading1"/>
        <w:numPr>
          <w:ilvl w:val="0"/>
          <w:numId w:val="10"/>
        </w:numPr>
      </w:pPr>
      <w:r>
        <w:t>Contract Calendar</w:t>
      </w:r>
    </w:p>
    <w:p>
      <w:r>
        <w:t>September 1, 2026 - RidgeLine Logistics annual rate notice due. Owner: Operations. Action: compare proposed 6.5% increase with contract index and service credits.</w:t>
      </w:r>
    </w:p>
    <w:p>
      <w:r>
        <w:t>September 15, 2026 - Evergreen Packaging non-renewal notice deadline. Owner: Procurement. Contract renews December 14 for one year unless 90 days' notice is given.</w:t>
      </w:r>
    </w:p>
    <w:p>
      <w:r>
        <w:t>October 5, 2026 - Summit Retail private-label quality certification expires. Owner: Quality. Action: obtain renewed certificate and confirm recall insurance.</w:t>
      </w:r>
    </w:p>
    <w:p>
      <w:r>
        <w:t>November 2, 2026 - Canyon ERP renewal decision. Owner: IT. Auto-renews for three years unless notice is sent. Current annual fee: $420,000; vendor proposes an 11% increase.</w:t>
      </w:r>
    </w:p>
    <w:p>
      <w:r>
        <w:t>July 1, 2027 - Outside general counsel annual scope and pricing review. Owners: CFO and General Counsel liaison.</w:t>
      </w:r>
    </w:p>
    <w:p>
      <w:pPr>
        <w:pStyle w:val="Heading1"/>
        <w:numPr>
          <w:ilvl w:val="0"/>
          <w:numId w:val="10"/>
        </w:numPr>
      </w:pPr>
      <w:r>
        <w:t>Governance and Policy Items</w:t>
      </w:r>
    </w:p>
    <w:p>
      <w:r>
        <w:t>Prepare third-quarter board materials by September 22, including contract concentration, product recall readiness, and the warehouse automation pilot. Update delegation-of-authority thresholds before the holiday purchasing cycle.</w:t>
      </w:r>
    </w:p>
    <w:p>
      <w:r>
        <w:t>Confirm whether the company should adopt an AI acceptable-use policy before marketing and procurement teams begin a generative-content pilot.</w:t>
      </w:r>
    </w:p>
    <w:p>
      <w:pPr>
        <w:pStyle w:val="Heading1"/>
        <w:numPr>
          <w:ilvl w:val="0"/>
          <w:numId w:val="10"/>
        </w:numPr>
      </w:pPr>
      <w:r>
        <w:t>Retainer Status</w:t>
      </w:r>
    </w:p>
    <w:p>
      <w:r>
        <w:t>August usage through August 11: 21.4 attorney hours and 3.0 paralegal hours. Forecast: 43 attorney hours if current requests remain in scope. No overage is approved. The PinePeak amendment is the highest-priority matter for the next Tuesday call.</w:t>
      </w:r>
    </w:p>
    <w:p>
      <w:pPr>
        <w:pStyle w:val="Heading1"/>
        <w:numPr>
          <w:ilvl w:val="0"/>
          <w:numId w:val="10"/>
        </w:numPr>
      </w:pPr>
      <w:r>
        <w:t>Requested Decisions</w:t>
      </w:r>
    </w:p>
    <w:p>
      <w:r>
        <w:t>CFO approval is needed before negotiating any PinePeak exclusivity longer than 12 months. Marketing must select a maximum content-usage period for TrailForge. Operations must confirm whether employee-level workflow data is necessary for the warehouse pilot.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ABA Model Rule 1.5 (fees): https://www.americanbar.org/groups/professional_responsibility/publications/model_rules_of_professional_conduct/rule_1_5_fees/</w:t>
      </w:r>
    </w:p>
    <w:p>
      <w:pPr>
        <w:numPr>
          <w:ilvl w:val="0"/>
          <w:numId w:val="11"/>
        </w:numPr>
      </w:pPr>
      <w:r>
        <w:t>NIST Cybersecurity Framework 2.0: https://www.nist.gov/publications/nist-cybersecurity-framework-csf-20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Monthly Legal Request and Contract Calendar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Legal Request and Contract Calendar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