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80"/>
      </w:pPr>
      <w:r>
        <w:rPr>
          <w:rFonts w:ascii="Calibri" w:hAnsi="Calibri"/>
          <w:b/>
          <w:color w:val="1F2D3D"/>
          <w:sz w:val="48"/>
        </w:rPr>
        <w:t>Brew &amp; Bloom - Store Manager Separation | Communications and 30-Day Work Plan</w:t>
      </w:r>
    </w:p>
    <w:p>
      <w:pPr>
        <w:spacing w:after="280"/>
      </w:pPr>
      <w:r>
        <w:rPr>
          <w:rFonts w:ascii="Calibri" w:hAnsi="Calibri"/>
          <w:color w:val="606973"/>
          <w:sz w:val="26"/>
        </w:rPr>
        <w:t>Synthetic correspondence log and attorney work plan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Matter: </w:t>
      </w:r>
      <w:r>
        <w:rPr>
          <w:rFonts w:ascii="Calibri" w:hAnsi="Calibri"/>
          <w:color w:val="1F2D3D"/>
          <w:sz w:val="21"/>
        </w:rPr>
        <w:t>Brew &amp; Bloom - Store Manager Separation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Document date: </w:t>
      </w:r>
      <w:r>
        <w:rPr>
          <w:rFonts w:ascii="Calibri" w:hAnsi="Calibri"/>
          <w:color w:val="1F2D3D"/>
          <w:sz w:val="21"/>
        </w:rPr>
        <w:t>August 18, 2026</w:t>
      </w:r>
    </w:p>
    <w:p>
      <w:pPr>
        <w:spacing w:after="40"/>
      </w:pPr>
      <w:r>
        <w:rPr>
          <w:rFonts w:ascii="Calibri" w:hAnsi="Calibri"/>
          <w:b/>
          <w:color w:val="1F2D3D"/>
          <w:sz w:val="21"/>
        </w:rPr>
        <w:t xml:space="preserve">Status: </w:t>
      </w:r>
      <w:r>
        <w:rPr>
          <w:rFonts w:ascii="Calibri" w:hAnsi="Calibri"/>
          <w:color w:val="1F2D3D"/>
          <w:sz w:val="21"/>
        </w:rPr>
        <w:t>SYNTHETIC DEMO - NOT LEGAL ADVICE</w:t>
      </w:r>
    </w:p>
    <w:p>
      <w:pPr>
        <w:spacing w:before="200" w:after="200"/>
        <w:ind w:left="288" w:right="288"/>
      </w:pPr>
      <w:r>
        <w:rPr>
          <w:rFonts w:ascii="Calibri" w:hAnsi="Calibri"/>
          <w:i/>
          <w:color w:val="504119"/>
          <w:sz w:val="21"/>
        </w:rPr>
        <w:t>A simulated client update, internal analysis, and review-ready next steps for this fictional matter.</w:t>
      </w:r>
    </w:p>
    <w:p>
      <w:pPr>
        <w:pStyle w:val="Heading1"/>
        <w:numPr>
          <w:ilvl w:val="0"/>
          <w:numId w:val="10"/>
        </w:numPr>
      </w:pPr>
      <w:r>
        <w:t>Recent Communications</w:t>
      </w:r>
    </w:p>
    <w:p>
      <w:r>
        <w:t>Client email: Taylor Brooks asked counsel to prioritize the immediate decision and summarize remaining information gaps.</w:t>
      </w:r>
    </w:p>
    <w:p>
      <w:r>
        <w:t>Attorney reply: acknowledged receipt, confirmed that no external communication will be sent without review, and requested the listed records.</w:t>
      </w:r>
    </w:p>
    <w:p>
      <w:r>
        <w:t>Internal call note: team agreed to preserve relevant records and return a concise risk-and-options memo.</w:t>
      </w:r>
    </w:p>
    <w:p>
      <w:pPr>
        <w:pStyle w:val="Heading1"/>
        <w:numPr>
          <w:ilvl w:val="0"/>
          <w:numId w:val="10"/>
        </w:numPr>
      </w:pPr>
      <w:r>
        <w:t>30-Day Work Plan</w:t>
      </w:r>
    </w:p>
    <w:p>
      <w:r>
        <w:t>Week 1: Preserve POS, payroll, schedule, and group-chat records.</w:t>
      </w:r>
    </w:p>
    <w:p>
      <w:r>
        <w:t>Week 2: Prepare witness interview plan and comparator review.</w:t>
      </w:r>
    </w:p>
    <w:p>
      <w:r>
        <w:t>Weeks 3–4: Draft separation-or-coaching checklist with final-pay steps.</w:t>
      </w:r>
    </w:p>
    <w:p>
      <w:pPr>
        <w:pStyle w:val="Heading1"/>
        <w:numPr>
          <w:ilvl w:val="0"/>
          <w:numId w:val="10"/>
        </w:numPr>
      </w:pPr>
      <w:r>
        <w:t>Decision Log</w:t>
      </w:r>
    </w:p>
    <w:p>
      <w:r>
        <w:t>Decision pending: confirm client objective, authority, and acceptable risk tolerance.</w:t>
      </w:r>
    </w:p>
    <w:p>
      <w:r>
        <w:t>Decision pending: select an attorney-reviewed communication posture.</w:t>
      </w:r>
    </w:p>
    <w:p>
      <w:r>
        <w:t>Decision pending: approve the next milestone and accountable owner.</w:t>
      </w:r>
    </w:p>
    <w:p>
      <w:pPr>
        <w:pStyle w:val="Heading1"/>
        <w:numPr>
          <w:ilvl w:val="0"/>
          <w:numId w:val="10"/>
        </w:numPr>
      </w:pPr>
      <w:r>
        <w:t>Guided Demo Question</w:t>
      </w:r>
    </w:p>
    <w:p>
      <w:r>
        <w:t>Build an investigation plan that tests the tip allegation and the retaliation risk, then prepare an HR decision checklist.</w:t>
      </w:r>
    </w:p>
    <w:p>
      <w:r>
        <w:t>Demonstrate how the assistant connects source documents, communications, tasks, and the matter timeline while leaving legal judgment with counsel.</w:t>
      </w:r>
    </w:p>
    <w:p>
      <w:pPr>
        <w:pStyle w:val="Heading1"/>
        <w:keepNext/>
      </w:pPr>
      <w:r>
        <w:t>Research basis</w:t>
      </w:r>
    </w:p>
    <w:p>
      <w:pPr>
        <w:keepNext/>
      </w:pPr>
      <w:r>
        <w:t>These sources informed the fictional issue pattern and document structure. They are not incorporated into the agreement and are not a substitute for jurisdiction-specific review.</w:t>
      </w:r>
    </w:p>
    <w:p>
      <w:pPr>
        <w:numPr>
          <w:ilvl w:val="0"/>
          <w:numId w:val="11"/>
        </w:numPr>
      </w:pPr>
      <w:r>
        <w:t>Scenario design note: all people, organizations, facts, and amounts are fictional; the material is for product demonstration only and is not legal advice.</w:t>
      </w:r>
    </w:p>
    <w:sectPr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/>
        <w:color w:val="606973"/>
        <w:sz w:val="18"/>
      </w:rPr>
      <w:t xml:space="preserve">Brew &amp; Bloom - Store Manager Separation | Communications and 30-Day Work Plan  |  Page </w:t>
    </w:r>
    <w:r>
      <w:rPr>
        <w:rFonts w:ascii="Calibri" w:hAnsi="Calibri"/>
        <w:color w:val="606973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center"/>
    </w:pPr>
    <w:r>
      <w:rPr>
        <w:rFonts w:ascii="Calibri" w:hAnsi="Calibri"/>
        <w:b/>
        <w:color w:val="8B2500"/>
        <w:sz w:val="17"/>
      </w:rPr>
      <w:t>SYNTHETIC DEMO - NOT LEGAL ADVICE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pPr>
        <w:tabs>
          <w:tab w:val="num" w:pos="540"/>
        </w:tabs>
        <w:ind w:left="540" w:hanging="270"/>
        <w:spacing w:after="120" w:line="28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bullet"/>
      <w:lvlText w:val="-"/>
      <w:pPr>
        <w:tabs>
          <w:tab w:val="num" w:pos="540"/>
        </w:tabs>
        <w:ind w:left="540" w:hanging="270"/>
        <w:spacing w:after="120" w:line="28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pacing w:before="0" w:after="120" w:line="264" w:lineRule="auto"/>
    </w:pPr>
    <w:rPr>
      <w:rFonts w:ascii="Calibri" w:hAnsi="Calibri"/>
      <w:b w:val="0"/>
      <w:color w:val="1F2D3D"/>
      <w:sz w:val="22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unhideWhenUsed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Brew &amp; Bloom - Store Manager Separation | Communications and 30-Day Work Plan</dc:title>
  <dc:subject>SYNTHETIC DEMO - NOT LEGAL ADVICE</dc:subject>
  <dc:creator/>
  <cp:keywords/>
  <dc:description>Fictional BK24 corporate-law demonstration document.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