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Lakeside Bakery - First Brick-and-Mortar Lease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Lakeside Bakery - First Brick-and-Mortar Lease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Emerson Lane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Create lease redline matrix and build-out contingency list.</w:t>
      </w:r>
    </w:p>
    <w:p>
      <w:r>
        <w:t>Week 2: Request exclusivity, zoning, and utility documentation.</w:t>
      </w:r>
    </w:p>
    <w:p>
      <w:r>
        <w:t>Weeks 3–4: Prepare opening-date and guaranty negotiation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Review this first-store lease scenario, identify the top negotiation points, and create a practical due-diligence checklist.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Lakeside Bakery - First Brick-and-Mortar Lease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Lakeside Bakery - First Brick-and-Mortar Lease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