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Calibri" w:hAnsi="Calibri"/>
          <w:b/>
          <w:color w:val="1F2D3D"/>
          <w:sz w:val="48"/>
        </w:rPr>
        <w:t>Cyclist Claim Investigation File</w:t>
      </w:r>
    </w:p>
    <w:p>
      <w:pPr>
        <w:spacing w:after="280"/>
      </w:pPr>
      <w:r>
        <w:rPr>
          <w:rFonts w:ascii="Calibri" w:hAnsi="Calibri"/>
          <w:color w:val="606973"/>
          <w:sz w:val="26"/>
        </w:rPr>
        <w:t>Maya Chen - Fictional Cedar Lane Intersection Incident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Matter: </w:t>
      </w:r>
      <w:r>
        <w:rPr>
          <w:rFonts w:ascii="Calibri" w:hAnsi="Calibri"/>
          <w:color w:val="1F2D3D"/>
          <w:sz w:val="21"/>
        </w:rPr>
        <w:t>Cedar Lane - Cyclist Intersection Claim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Document date: </w:t>
      </w:r>
      <w:r>
        <w:rPr>
          <w:rFonts w:ascii="Calibri" w:hAnsi="Calibri"/>
          <w:color w:val="1F2D3D"/>
          <w:sz w:val="21"/>
        </w:rPr>
        <w:t>August 18, 2026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Status: </w:t>
      </w:r>
      <w:r>
        <w:rPr>
          <w:rFonts w:ascii="Calibri" w:hAnsi="Calibri"/>
          <w:color w:val="1F2D3D"/>
          <w:sz w:val="21"/>
        </w:rPr>
        <w:t>SYNTHETIC DEMO - NOT LEGAL ADVICE</w:t>
      </w:r>
    </w:p>
    <w:p>
      <w:pPr>
        <w:spacing w:before="200" w:after="200"/>
        <w:ind w:left="288" w:right="288"/>
      </w:pPr>
      <w:r>
        <w:rPr>
          <w:rFonts w:ascii="Calibri" w:hAnsi="Calibri"/>
          <w:i/>
          <w:color w:val="504119"/>
          <w:sz w:val="21"/>
        </w:rPr>
        <w:t>A bicycle commuter is recovering from a fractured wrist after a delivery van turned across a marked bike lane, while the available video and insurance accounts do not yet line up.</w:t>
      </w:r>
    </w:p>
    <w:p>
      <w:pPr>
        <w:pStyle w:val="Heading1"/>
        <w:numPr>
          <w:ilvl w:val="0"/>
          <w:numId w:val="10"/>
        </w:numPr>
      </w:pPr>
      <w:r>
        <w:t>Background and Working Facts</w:t>
      </w:r>
    </w:p>
    <w:p>
      <w:r>
        <w:t>Maya was riding south in a marked bike lane when a QuickCrate delivery van turned right into a loading entrance. The collision report identifies two witnesses, but lists only one working phone number.</w:t>
      </w:r>
    </w:p>
    <w:p>
      <w:r>
        <w:t>A nearby bookstore says its exterior camera may overwrite footage after 21 days. Maya has photographs, a damaged helmet, urgent-care records, and a repair estimate, but has not downloaded fitness-watch data from the ride.</w:t>
      </w:r>
    </w:p>
    <w:p>
      <w:r>
        <w:t>The carrier requested a recorded statement and broad medical authorization. Maya wants help preserving evidence, organizing treatment records, and understanding the next practical steps before responding.</w:t>
      </w:r>
    </w:p>
    <w:p>
      <w:pPr>
        <w:pStyle w:val="Heading1"/>
        <w:numPr>
          <w:ilvl w:val="0"/>
          <w:numId w:val="10"/>
        </w:numPr>
      </w:pPr>
      <w:r>
        <w:t>Risk and Issue Map</w:t>
      </w:r>
    </w:p>
    <w:p>
      <w:r>
        <w:t>Time-sensitive preservation should cover video, vehicle telematics, dispatch records, photographs, damaged equipment, witness details, and wearable data.</w:t>
      </w:r>
    </w:p>
    <w:p>
      <w:r>
        <w:t>The file needs a treatment-and-expense chronology that separates verified records from estimates and future care questions.</w:t>
      </w:r>
    </w:p>
    <w:p>
      <w:r>
        <w:t>All communications with the carrier should preserve defenses and avoid unnecessary disclosure before counsel reviews scope and authority.</w:t>
      </w:r>
    </w:p>
    <w:p>
      <w:pPr>
        <w:pStyle w:val="Heading1"/>
        <w:numPr>
          <w:ilvl w:val="0"/>
          <w:numId w:val="10"/>
        </w:numPr>
      </w:pPr>
      <w:r>
        <w:t>Options and Decisions Needed</w:t>
      </w:r>
    </w:p>
    <w:p>
      <w:r>
        <w:t>Approve immediate preservation requests to the bookstore, delivery company, and relevant public agencies.</w:t>
      </w:r>
    </w:p>
    <w:p>
      <w:r>
        <w:t>Choose the record-collection sequence and a client-friendly treatment update cadence.</w:t>
      </w:r>
    </w:p>
    <w:p>
      <w:r>
        <w:t>Decide how to respond to the statement and authorization requests after reviewing applicable local practice.</w:t>
      </w:r>
    </w:p>
    <w:p>
      <w:pPr>
        <w:pStyle w:val="Heading1"/>
        <w:numPr>
          <w:ilvl w:val="0"/>
          <w:numId w:val="10"/>
        </w:numPr>
      </w:pPr>
      <w:r>
        <w:t>90-Day Action Plan</w:t>
      </w:r>
    </w:p>
    <w:p>
      <w:r>
        <w:t>Priority 1: Send video, telematics, and dispatch preservation requests.</w:t>
      </w:r>
    </w:p>
    <w:p>
      <w:r>
        <w:t>Priority 2: Build medical treatment, expense, and lost-time chronology.</w:t>
      </w:r>
    </w:p>
    <w:p>
      <w:r>
        <w:t>Priority 3: Prepare carrier communication and authorization review checklist.</w:t>
      </w:r>
    </w:p>
    <w:p>
      <w:pPr>
        <w:pStyle w:val="Heading1"/>
        <w:numPr>
          <w:ilvl w:val="0"/>
          <w:numId w:val="10"/>
        </w:numPr>
      </w:pPr>
      <w:r>
        <w:t>Guided Demo Question</w:t>
      </w:r>
    </w:p>
    <w:p>
      <w:r>
        <w:t>Build a pre-suit investigation plan, identify expiring evidence, and organize the medical and insurer follow-up without estimating claim value.</w:t>
      </w:r>
    </w:p>
    <w:p>
      <w:r>
        <w:t>Use this scenario to demonstrate document-grounded analysis, a matter timeline, task creation, and an attorney review workflow. Confirm jurisdiction-specific law and facts before acting outside this fictional demonstration.</w:t>
      </w:r>
    </w:p>
    <w:p>
      <w:pPr>
        <w:pStyle w:val="Heading1"/>
        <w:keepNext/>
      </w:pPr>
      <w:r>
        <w:t>Research basis</w:t>
      </w:r>
    </w:p>
    <w:p>
      <w:pPr>
        <w:keepNext/>
      </w:pPr>
      <w:r>
        <w:t>These sources informed the fictional issue pattern and document structure. They are not incorporated into the agreement and are not a substitute for jurisdiction-specific review.</w:t>
      </w:r>
    </w:p>
    <w:p>
      <w:pPr>
        <w:numPr>
          <w:ilvl w:val="0"/>
          <w:numId w:val="11"/>
        </w:numPr>
      </w:pPr>
      <w:r>
        <w:t>Scenario design note: all people, organizations, facts, and amounts are fictional; the material is for product demonstration only and is not legal advice.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06973"/>
        <w:sz w:val="18"/>
      </w:rPr>
      <w:t xml:space="preserve">Cyclist Claim Investigation File  |  Page </w:t>
    </w:r>
    <w:r>
      <w:rPr>
        <w:rFonts w:ascii="Calibri" w:hAnsi="Calibri"/>
        <w:color w:val="6069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/>
        <w:b/>
        <w:color w:val="8B2500"/>
        <w:sz w:val="17"/>
      </w:rPr>
      <w:t>SYNTHETIC DEMO - NOT LEGAL ADVICE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  <w:spacing w:after="12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-"/>
      <w:pPr>
        <w:tabs>
          <w:tab w:val="num" w:pos="540"/>
        </w:tabs>
        <w:ind w:left="540" w:hanging="270"/>
        <w:spacing w:after="12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0" w:after="120" w:line="264" w:lineRule="auto"/>
    </w:pPr>
    <w:rPr>
      <w:rFonts w:ascii="Calibri" w:hAnsi="Calibri"/>
      <w:b w:val="0"/>
      <w:color w:val="1F2D3D"/>
      <w:sz w:val="2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Cyclist Claim Investigation File</dc:title>
  <dc:subject>SYNTHETIC DEMO - NOT LEGAL ADVICE</dc:subject>
  <dc:creator/>
  <cp:keywords/>
  <dc:description>Fictional BK24 corporate-law demonstration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