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Atlas Grove - Co-Founder Separation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Atlas Grove - Co-Founder Separation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Priya Raman reported the central issue: A venture-backed software company needs a calm plan after its product co-founder announces an immediate departure while retaining board rights, unvested equity, and access to key customer relationships.</w:t>
      </w:r>
    </w:p>
    <w:p>
      <w:r>
        <w:t>Day 1 - Counsel requested the first preservation set and assigned map charter, voting, equity, and employment approval requirements.</w:t>
      </w:r>
    </w:p>
    <w:p>
      <w:r>
        <w:t>Day 3 - Elena Voss confirmed the internal records owner and outstanding information gaps.</w:t>
      </w:r>
    </w:p>
    <w:p>
      <w:r>
        <w:t>Next milestone - Complete reconcile vesting, repurchase, and consulting terms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Priya Raman (Chief Executive Officer).</w:t>
      </w:r>
    </w:p>
    <w:p>
      <w:r>
        <w:t>Records and billing contact: Elena Voss (Finance Director).</w:t>
      </w:r>
    </w:p>
    <w:p>
      <w:r>
        <w:t>External stakeholder: Cameron Vale for Cameron Vale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Compare the founder's governing documents, identify required approvals and conflicts, and prepare a sequenced board-and-separation checklist.</w:t>
      </w:r>
    </w:p>
    <w:p>
      <w:r>
        <w:t>Immediate action: Map charter, voting, equity, and employment approval requirements.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Atlas Grove - Co-Founder Separation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Grove - Co-Founder Separation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