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Atlas Grove - Co-Founder Separation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Atlas Grove - Co-Founder Separation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Priya Raman asked counsel to prioritize the immediate decision and summarize remaining information gaps.</w:t>
      </w:r>
    </w:p>
    <w:p>
      <w:r>
        <w:t>Follow-up call: Elena Voss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Map charter, voting, equity, and employment approval requirements.</w:t>
      </w:r>
    </w:p>
    <w:p>
      <w:r>
        <w:t>Week 2: Reconcile vesting, repurchase, and consulting terms.</w:t>
      </w:r>
    </w:p>
    <w:p>
      <w:r>
        <w:t>Weeks 3–4: Prepare board consent and coordinated communication plan.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Compare the founder's governing documents, identify required approvals and conflicts, and prepare a sequenced board-and-separation checklist.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Atlas Grove - Co-Founder Separation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Grove - Co-Founder Separation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