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Brew &amp; Bloom - Store Manager Separation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Brew &amp; Bloom - Store Manager Separation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Taylor Brooks reported the central issue: A popular store manager is accused of changing tip allocations, but the complaint lands two days after she raised scheduling concerns in a staff group chat.</w:t>
      </w:r>
    </w:p>
    <w:p>
      <w:r>
        <w:t>Day 1 - Counsel requested the first preservation set and assigned preserve pos, payroll, schedule, and group-chat records.</w:t>
      </w:r>
    </w:p>
    <w:p>
      <w:r>
        <w:t>Day 3 - Jules Grant confirmed the internal records owner and outstanding information gaps.</w:t>
      </w:r>
    </w:p>
    <w:p>
      <w:r>
        <w:t>Next milestone - Complete prepare witness interview plan and comparator review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Taylor Brooks (Chief of Staff).</w:t>
      </w:r>
    </w:p>
    <w:p>
      <w:r>
        <w:t>Records and billing contact: Jules Grant (HR Business Partner).</w:t>
      </w:r>
    </w:p>
    <w:p>
      <w:r>
        <w:t>External stakeholder: Morgan Hale for Morgan Hale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Build an investigation plan that tests the tip allegation and the retaliation risk, then prepare an HR decision checklist.</w:t>
      </w:r>
    </w:p>
    <w:p>
      <w:r>
        <w:t>Immediate action: Preserve POS, payroll, schedule, and group-chat records.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Brew &amp; Bloom - Store Manager Separation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Brew &amp; Bloom - Store Manager Separation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