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Brew &amp; Bloom - Store Manager Separation | Client Intake and Contact Profile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client file · privileged demonstration work paper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Brew &amp; Bloom - Store Manager Separation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popular store manager is accused of changing tip allocations, but the complaint lands two days after she raised scheduling concerns in a staff group chat.</w:t>
      </w:r>
    </w:p>
    <w:p>
      <w:pPr>
        <w:pStyle w:val="Heading1"/>
        <w:numPr>
          <w:ilvl w:val="0"/>
          <w:numId w:val="10"/>
        </w:numPr>
      </w:pPr>
      <w:r>
        <w:t>Client Profile</w:t>
      </w:r>
    </w:p>
    <w:p>
      <w:r>
        <w:t>Organization: Brew &amp; Bloom Coffee Roasters, Inc. (fictional)</w:t>
      </w:r>
    </w:p>
    <w:p>
      <w:r>
        <w:t>Primary contact: Taylor Brooks, Chief of Staff</w:t>
      </w:r>
    </w:p>
    <w:p>
      <w:r>
        <w:t>Secondary contact: Jules Grant, HR Business Partner</w:t>
      </w:r>
    </w:p>
    <w:p>
      <w:r>
        <w:t>Office: 184 Lantern Way, Chicago, IL 60607</w:t>
      </w:r>
    </w:p>
    <w:p>
      <w:r>
        <w:t>Direct line: +1-202-555-0115 · Email: taylor.brooks@example.invalid</w:t>
      </w:r>
    </w:p>
    <w:p>
      <w:r>
        <w:t>Client since: 2024-06-15 · Preferred contact: email · Weekdays after 3:00 p.m. local time</w:t>
      </w:r>
    </w:p>
    <w:p>
      <w:r>
        <w:t>Billing profile: Monthly itemized invoice; electronic delivery; client approval required before third-party spend.</w:t>
      </w:r>
    </w:p>
    <w:p>
      <w:pPr>
        <w:pStyle w:val="Heading1"/>
        <w:numPr>
          <w:ilvl w:val="0"/>
          <w:numId w:val="10"/>
        </w:numPr>
      </w:pPr>
      <w:r>
        <w:t>Initial Intake</w:t>
      </w:r>
    </w:p>
    <w:p>
      <w:r>
        <w:t>A popular store manager is accused of changing tip allocations, but the complaint lands two days after she raised scheduling concerns in a staff group chat.</w:t>
      </w:r>
    </w:p>
    <w:p>
      <w:r>
        <w:t>Conflict check recorded as cleared for this fictional demonstration file.</w:t>
      </w:r>
    </w:p>
    <w:p>
      <w:r>
        <w:t>Client asked for a practical work plan, source-grounded risk summary, and attorney-reviewed communications.</w:t>
      </w:r>
    </w:p>
    <w:p>
      <w:pPr>
        <w:pStyle w:val="Heading1"/>
        <w:numPr>
          <w:ilvl w:val="0"/>
          <w:numId w:val="10"/>
        </w:numPr>
      </w:pPr>
      <w:r>
        <w:t>Other Known Parties</w:t>
      </w:r>
    </w:p>
    <w:p>
      <w:r>
        <w:t>Counterparty or stakeholder: Morgan Hale (fictional).</w:t>
      </w:r>
    </w:p>
    <w:p>
      <w:r>
        <w:t>Primary outside contact: Morgan Hale (counterparty-6@example.invalid).</w:t>
      </w:r>
    </w:p>
    <w:p>
      <w:r>
        <w:t>Party information is fictional and is included solely to demonstrate a complete matter file.</w:t>
      </w:r>
    </w:p>
    <w:p>
      <w:pPr>
        <w:pStyle w:val="Heading1"/>
        <w:numPr>
          <w:ilvl w:val="0"/>
          <w:numId w:val="10"/>
        </w:numPr>
      </w:pPr>
      <w:r>
        <w:t>Open Questions for Counsel</w:t>
      </w:r>
    </w:p>
    <w:p>
      <w:r>
        <w:t>Confirm governing documents, venue, and jurisdiction-specific requirements before advice or external action.</w:t>
      </w:r>
    </w:p>
    <w:p>
      <w:r>
        <w:t>Confirm the client representative's authority and any insurance, notice, or consent obligations.</w:t>
      </w:r>
    </w:p>
    <w:p>
      <w:r>
        <w:t>Identify records that require preservation or privilege treatment.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Brew &amp; Bloom - Store Manager Separation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Brew &amp; Bloom - Store Manager Separation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