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80"/>
      </w:pPr>
      <w:r>
        <w:rPr>
          <w:rFonts w:ascii="Calibri" w:hAnsi="Calibri"/>
          <w:b/>
          <w:color w:val="1F2D3D"/>
          <w:sz w:val="48"/>
        </w:rPr>
        <w:t>Greenline Kitchen - Sidewalk Patio Permit | Chronology and Document Index</w:t>
      </w:r>
    </w:p>
    <w:p>
      <w:pPr>
        <w:spacing w:after="280"/>
      </w:pPr>
      <w:r>
        <w:rPr>
          <w:rFonts w:ascii="Calibri" w:hAnsi="Calibri"/>
          <w:color w:val="606973"/>
          <w:sz w:val="26"/>
        </w:rPr>
        <w:t>Synthetic matter chronology · review and production tracker</w:t>
      </w:r>
    </w:p>
    <w:p>
      <w:pPr>
        <w:spacing w:after="40"/>
      </w:pPr>
      <w:r>
        <w:rPr>
          <w:rFonts w:ascii="Calibri" w:hAnsi="Calibri"/>
          <w:b/>
          <w:color w:val="1F2D3D"/>
          <w:sz w:val="21"/>
        </w:rPr>
        <w:t xml:space="preserve">Matter: </w:t>
      </w:r>
      <w:r>
        <w:rPr>
          <w:rFonts w:ascii="Calibri" w:hAnsi="Calibri"/>
          <w:color w:val="1F2D3D"/>
          <w:sz w:val="21"/>
        </w:rPr>
        <w:t>Greenline Kitchen - Sidewalk Patio Permit</w:t>
      </w:r>
    </w:p>
    <w:p>
      <w:pPr>
        <w:spacing w:after="40"/>
      </w:pPr>
      <w:r>
        <w:rPr>
          <w:rFonts w:ascii="Calibri" w:hAnsi="Calibri"/>
          <w:b/>
          <w:color w:val="1F2D3D"/>
          <w:sz w:val="21"/>
        </w:rPr>
        <w:t xml:space="preserve">Document date: </w:t>
      </w:r>
      <w:r>
        <w:rPr>
          <w:rFonts w:ascii="Calibri" w:hAnsi="Calibri"/>
          <w:color w:val="1F2D3D"/>
          <w:sz w:val="21"/>
        </w:rPr>
        <w:t>August 20, 2026</w:t>
      </w:r>
    </w:p>
    <w:p>
      <w:pPr>
        <w:spacing w:after="40"/>
      </w:pPr>
      <w:r>
        <w:rPr>
          <w:rFonts w:ascii="Calibri" w:hAnsi="Calibri"/>
          <w:b/>
          <w:color w:val="1F2D3D"/>
          <w:sz w:val="21"/>
        </w:rPr>
        <w:t xml:space="preserve">Status: </w:t>
      </w:r>
      <w:r>
        <w:rPr>
          <w:rFonts w:ascii="Calibri" w:hAnsi="Calibri"/>
          <w:color w:val="1F2D3D"/>
          <w:sz w:val="21"/>
        </w:rPr>
        <w:t>SYNTHETIC DEMO - NOT LEGAL ADVICE</w:t>
      </w:r>
    </w:p>
    <w:p>
      <w:pPr>
        <w:spacing w:before="200" w:after="200"/>
        <w:ind w:left="288" w:right="288"/>
      </w:pPr>
      <w:r>
        <w:rPr>
          <w:rFonts w:ascii="Calibri" w:hAnsi="Calibri"/>
          <w:i/>
          <w:color w:val="504119"/>
          <w:sz w:val="21"/>
        </w:rPr>
        <w:t>A review-ready index that connects the fictional matter's key events, custodians, and source records.</w:t>
      </w:r>
    </w:p>
    <w:p>
      <w:pPr>
        <w:pStyle w:val="Heading1"/>
        <w:numPr>
          <w:ilvl w:val="0"/>
          <w:numId w:val="10"/>
        </w:numPr>
      </w:pPr>
      <w:r>
        <w:t>Working Chronology</w:t>
      </w:r>
    </w:p>
    <w:p>
      <w:r>
        <w:t>Day 0 - Intake opened after Nico Alvarez reported the central issue: A neighborhood restaurant built a small seasonal patio from an approved sketch, then received a notice claiming that planters and a host stand reduce the accessible pedestrian path.</w:t>
      </w:r>
    </w:p>
    <w:p>
      <w:r>
        <w:t>Day 1 - Counsel requested the first preservation set and assigned collect permit, approved plans, measurements, and site photographs.</w:t>
      </w:r>
    </w:p>
    <w:p>
      <w:r>
        <w:t>Day 3 - Marco Diaz confirmed the internal records owner and outstanding information gaps.</w:t>
      </w:r>
    </w:p>
    <w:p>
      <w:r>
        <w:t>Next milestone - Complete draft cure proposal and reinspection request before the scheduled attorney review.</w:t>
      </w:r>
    </w:p>
    <w:p>
      <w:pPr>
        <w:pStyle w:val="Heading1"/>
        <w:numPr>
          <w:ilvl w:val="0"/>
          <w:numId w:val="10"/>
        </w:numPr>
      </w:pPr>
      <w:r>
        <w:t>Document and Evidence Index</w:t>
      </w:r>
    </w:p>
    <w:p>
      <w:r>
        <w:t>INT-001 - Client intake and contact profile; source: primary client contact; status: reviewed.</w:t>
      </w:r>
    </w:p>
    <w:p>
      <w:r>
        <w:t>COM-001 - Communications and 30-day work plan; source: matter team; status: working draft.</w:t>
      </w:r>
    </w:p>
    <w:p>
      <w:r>
        <w:t>SRC-001 - Primary scenario document; source: synthetic client file; status: indexed for demo search.</w:t>
      </w:r>
    </w:p>
    <w:p>
      <w:r>
        <w:t>REQ-001 - Outstanding records request; owner: secondary client contact; status: pending.</w:t>
      </w:r>
    </w:p>
    <w:p>
      <w:pPr>
        <w:pStyle w:val="Heading1"/>
        <w:numPr>
          <w:ilvl w:val="0"/>
          <w:numId w:val="10"/>
        </w:numPr>
      </w:pPr>
      <w:r>
        <w:t>Custodians and Review Owners</w:t>
      </w:r>
    </w:p>
    <w:p>
      <w:r>
        <w:t>Client decision-maker: Nico Alvarez (Managing Member).</w:t>
      </w:r>
    </w:p>
    <w:p>
      <w:r>
        <w:t>Records and billing contact: Marco Diaz (Restaurant Manager).</w:t>
      </w:r>
    </w:p>
    <w:p>
      <w:r>
        <w:t>External stakeholder: Elliot Reed for Greenline Municipal Licensing Bureau (fictional).</w:t>
      </w:r>
    </w:p>
    <w:p>
      <w:r>
        <w:t>Matter lead: Jordan Lee (synthetic); final legal conclusions and external communications require attorney approval.</w:t>
      </w:r>
    </w:p>
    <w:p>
      <w:pPr>
        <w:pStyle w:val="Heading1"/>
        <w:numPr>
          <w:ilvl w:val="0"/>
          <w:numId w:val="10"/>
        </w:numPr>
      </w:pPr>
      <w:r>
        <w:t>Next Review</w:t>
      </w:r>
    </w:p>
    <w:p>
      <w:r>
        <w:t>Use the guided question: Create an agency-response plan, compare the approved layout to the inspection facts, and draft a concise cure proposal with a deadline calendar.</w:t>
      </w:r>
    </w:p>
    <w:p>
      <w:r>
        <w:t>Immediate action: Collect permit, approved plans, measurements, and site photographs.</w:t>
      </w:r>
    </w:p>
    <w:p>
      <w:r>
        <w:t>Confirm document completeness, privilege, and governing-law assumptions before reliance or production.</w:t>
      </w:r>
    </w:p>
    <w:p>
      <w:pPr>
        <w:pStyle w:val="Heading1"/>
        <w:keepNext/>
      </w:pPr>
      <w:r>
        <w:t>Research basis</w:t>
      </w:r>
    </w:p>
    <w:p>
      <w:pPr>
        <w:keepNext/>
      </w:pPr>
      <w:r>
        <w:t>These sources informed the fictional issue pattern and document structure. They are not incorporated into the agreement and are not a substitute for jurisdiction-specific review.</w:t>
      </w:r>
    </w:p>
    <w:p>
      <w:pPr>
        <w:numPr>
          <w:ilvl w:val="0"/>
          <w:numId w:val="11"/>
        </w:numPr>
      </w:pPr>
      <w:r>
        <w:t>Scenario design note: all people, organizations, facts, and amounts are fictional; the material is for product demonstration only and is not legal advice.</w:t>
      </w:r>
    </w:p>
    <w:sectPr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/>
        <w:color w:val="606973"/>
        <w:sz w:val="18"/>
      </w:rPr>
      <w:t xml:space="preserve">Greenline Kitchen - Sidewalk Patio Permit | Chronology and Document Index  |  Page </w:t>
    </w:r>
    <w:r>
      <w:rPr>
        <w:rFonts w:ascii="Calibri" w:hAnsi="Calibri"/>
        <w:color w:val="606973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center"/>
    </w:pPr>
    <w:r>
      <w:rPr>
        <w:rFonts w:ascii="Calibri" w:hAnsi="Calibri"/>
        <w:b/>
        <w:color w:val="8B2500"/>
        <w:sz w:val="17"/>
      </w:rPr>
      <w:t>SYNTHETIC DEMO - NOT LEGAL ADVICE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pPr>
        <w:tabs>
          <w:tab w:val="num" w:pos="540"/>
        </w:tabs>
        <w:ind w:left="540" w:hanging="270"/>
        <w:spacing w:after="120" w:line="280" w:lineRule="auto"/>
      </w:pPr>
    </w:lvl>
  </w:abstractNum>
  <w:num w:numId="10">
    <w:abstractNumId w:val="9"/>
  </w:num>
  <w:abstractNum w:abstractNumId="10">
    <w:multiLevelType w:val="singleLevel"/>
    <w:lvl w:ilvl="0">
      <w:start w:val="1"/>
      <w:numFmt w:val="bullet"/>
      <w:lvlText w:val="-"/>
      <w:pPr>
        <w:tabs>
          <w:tab w:val="num" w:pos="540"/>
        </w:tabs>
        <w:ind w:left="540" w:hanging="270"/>
        <w:spacing w:after="120" w:line="280" w:lineRule="auto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before="0" w:after="120" w:line="264" w:lineRule="auto"/>
    </w:pPr>
    <w:rPr>
      <w:rFonts w:ascii="Calibri" w:hAnsi="Calibri"/>
      <w:b w:val="0"/>
      <w:color w:val="1F2D3D"/>
      <w:sz w:val="22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Greenline Kitchen - Sidewalk Patio Permit | Chronology and Document Index</dc:title>
  <dc:subject>SYNTHETIC DEMO - NOT LEGAL ADVICE</dc:subject>
  <dc:creator/>
  <cp:keywords/>
  <dc:description>Fictional BK24 corporate-law demonstration document.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