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Marigold Estate - Garden Shop Transition | Chronology and Document Index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matter chronology · review and production tracker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Marigold Estate - Garden Shop Transition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20,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review-ready index that connects the fictional matter's key events, custodians, and source records.</w:t>
      </w:r>
    </w:p>
    <w:p>
      <w:pPr>
        <w:pStyle w:val="Heading1"/>
        <w:numPr>
          <w:ilvl w:val="0"/>
          <w:numId w:val="10"/>
        </w:numPr>
      </w:pPr>
      <w:r>
        <w:t>Working Chronology</w:t>
      </w:r>
    </w:p>
    <w:p>
      <w:r>
        <w:t>Day 0 - Intake opened after Skyler Bennett reported the central issue: A beloved garden-shop owner left a handwritten note, a small greenhouse business, and three adult children who all agree the shop should survive but disagree about who should run it.</w:t>
      </w:r>
    </w:p>
    <w:p>
      <w:r>
        <w:t>Day 1 - Counsel requested the first preservation set and assigned inventory estate and garden-shop records.</w:t>
      </w:r>
    </w:p>
    <w:p>
      <w:r>
        <w:t>Day 3 - Lena Marsh confirmed the internal records owner and outstanding information gaps.</w:t>
      </w:r>
    </w:p>
    <w:p>
      <w:r>
        <w:t>Next milestone - Complete create 30-day business-continuity checklist before the scheduled attorney review.</w:t>
      </w:r>
    </w:p>
    <w:p>
      <w:pPr>
        <w:pStyle w:val="Heading1"/>
        <w:numPr>
          <w:ilvl w:val="0"/>
          <w:numId w:val="10"/>
        </w:numPr>
      </w:pPr>
      <w:r>
        <w:t>Document and Evidence Index</w:t>
      </w:r>
    </w:p>
    <w:p>
      <w:r>
        <w:t>INT-001 - Client intake and contact profile; source: primary client contact; status: reviewed.</w:t>
      </w:r>
    </w:p>
    <w:p>
      <w:r>
        <w:t>COM-001 - Communications and 30-day work plan; source: matter team; status: working draft.</w:t>
      </w:r>
    </w:p>
    <w:p>
      <w:r>
        <w:t>SRC-001 - Primary scenario document; source: synthetic client file; status: indexed for demo search.</w:t>
      </w:r>
    </w:p>
    <w:p>
      <w:r>
        <w:t>REQ-001 - Outstanding records request; owner: secondary client contact; status: pending.</w:t>
      </w:r>
    </w:p>
    <w:p>
      <w:pPr>
        <w:pStyle w:val="Heading1"/>
        <w:numPr>
          <w:ilvl w:val="0"/>
          <w:numId w:val="10"/>
        </w:numPr>
      </w:pPr>
      <w:r>
        <w:t>Custodians and Review Owners</w:t>
      </w:r>
    </w:p>
    <w:p>
      <w:r>
        <w:t>Client decision-maker: Skyler Bennett (Program Director).</w:t>
      </w:r>
    </w:p>
    <w:p>
      <w:r>
        <w:t>Records and billing contact: Lena Marsh (Estate Accountant).</w:t>
      </w:r>
    </w:p>
    <w:p>
      <w:r>
        <w:t>External stakeholder: Jamie Marigold for Marigold Family Beneficiaries (fictional).</w:t>
      </w:r>
    </w:p>
    <w:p>
      <w:r>
        <w:t>Matter lead: Jordan Lee (synthetic); final legal conclusions and external communications require attorney approval.</w:t>
      </w:r>
    </w:p>
    <w:p>
      <w:pPr>
        <w:pStyle w:val="Heading1"/>
        <w:numPr>
          <w:ilvl w:val="0"/>
          <w:numId w:val="10"/>
        </w:numPr>
      </w:pPr>
      <w:r>
        <w:t>Next Review</w:t>
      </w:r>
    </w:p>
    <w:p>
      <w:r>
        <w:t>Use the guided question: Organize this estate-and-business transition into immediate, near-term, and long-term decisions while flagging questions for local probate counsel.</w:t>
      </w:r>
    </w:p>
    <w:p>
      <w:r>
        <w:t>Immediate action: Inventory estate and garden-shop records.</w:t>
      </w:r>
    </w:p>
    <w:p>
      <w:r>
        <w:t>Confirm document completeness, privilege, and governing-law assumptions before reliance or production.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Marigold Estate - Garden Shop Transition | Chronology and Document Index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Marigold Estate - Garden Shop Transition | Chronology and Document Index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