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Sunbeam Drone - Rooftop Delivery Demand | Communications and 30-Day Work Plan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Synthetic correspondence log and attorney work plan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Sunbeam Drone - Rooftop Delivery Demand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18,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simulated client update, internal analysis, and review-ready next steps for this fictional matter.</w:t>
      </w:r>
    </w:p>
    <w:p>
      <w:pPr>
        <w:pStyle w:val="Heading1"/>
        <w:numPr>
          <w:ilvl w:val="0"/>
          <w:numId w:val="10"/>
        </w:numPr>
      </w:pPr>
      <w:r>
        <w:t>Recent Communications</w:t>
      </w:r>
    </w:p>
    <w:p>
      <w:r>
        <w:t>Client email: Jamie Patel asked counsel to prioritize the immediate decision and summarize remaining information gaps.</w:t>
      </w:r>
    </w:p>
    <w:p>
      <w:r>
        <w:t>Follow-up call: Lee Wallace confirmed the records owner and the preferred review cadence.</w:t>
      </w:r>
    </w:p>
    <w:p>
      <w:r>
        <w:t>Attorney reply: acknowledged receipt, confirmed that no external communication will be sent without review, and requested the listed records.</w:t>
      </w:r>
    </w:p>
    <w:p>
      <w:r>
        <w:t>Internal call note: team agreed to preserve relevant records and return a concise risk-and-options memo.</w:t>
      </w:r>
    </w:p>
    <w:p>
      <w:pPr>
        <w:pStyle w:val="Heading1"/>
        <w:numPr>
          <w:ilvl w:val="0"/>
          <w:numId w:val="10"/>
        </w:numPr>
      </w:pPr>
      <w:r>
        <w:t>30-Day Work Plan</w:t>
      </w:r>
    </w:p>
    <w:p>
      <w:r>
        <w:t>Week 1: Issue legal hold and preserve flight, marketing, and support records.</w:t>
      </w:r>
    </w:p>
    <w:p>
      <w:r>
        <w:t>Week 2: Map contract, insurance, and agency-notice deadlines.</w:t>
      </w:r>
    </w:p>
    <w:p>
      <w:r>
        <w:t>Weeks 3–4: Prepare demand-response chronology and settlement authority memo.</w:t>
      </w:r>
    </w:p>
    <w:p>
      <w:pPr>
        <w:pStyle w:val="Heading1"/>
        <w:numPr>
          <w:ilvl w:val="0"/>
          <w:numId w:val="10"/>
        </w:numPr>
      </w:pPr>
      <w:r>
        <w:t>Decision Log</w:t>
      </w:r>
    </w:p>
    <w:p>
      <w:r>
        <w:t>Decision pending: confirm client objective, authority, and acceptable risk tolerance.</w:t>
      </w:r>
    </w:p>
    <w:p>
      <w:r>
        <w:t>Decision pending: select an attorney-reviewed communication posture.</w:t>
      </w:r>
    </w:p>
    <w:p>
      <w:r>
        <w:t>Decision pending: approve the next milestone and accountable owner.</w:t>
      </w:r>
    </w:p>
    <w:p>
      <w:pPr>
        <w:pStyle w:val="Heading1"/>
        <w:numPr>
          <w:ilvl w:val="0"/>
          <w:numId w:val="10"/>
        </w:numPr>
      </w:pPr>
      <w:r>
        <w:t>Guided Demo Question</w:t>
      </w:r>
    </w:p>
    <w:p>
      <w:r>
        <w:t>Build a claim chronology, identify the preservation steps, and draft a measured response that does not concede the disputed marketing statement.</w:t>
      </w:r>
    </w:p>
    <w:p>
      <w:r>
        <w:t>Demonstrate how the assistant connects source documents, communications, tasks, and the matter timeline while leaving legal judgment with counsel.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Sunbeam Drone - Rooftop Delivery Demand | Communications and 30-Day Work Plan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Sunbeam Drone - Rooftop Delivery Demand | Communications and 30-Day Work Plan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