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8CA4" w14:textId="77777777" w:rsidR="00A82D5C" w:rsidRPr="005C4501" w:rsidRDefault="00A82D5C" w:rsidP="00A82D5C">
      <w:pPr>
        <w:pStyle w:val="Heading3"/>
        <w:rPr>
          <w:rFonts w:ascii="Times New Roman" w:hAnsi="Times New Roman" w:cs="Times New Roman"/>
          <w:b/>
          <w:bCs/>
          <w:color w:val="auto"/>
        </w:rPr>
      </w:pPr>
      <w:r w:rsidRPr="005C4501">
        <w:rPr>
          <w:rFonts w:ascii="Times New Roman" w:hAnsi="Times New Roman" w:cs="Times New Roman"/>
          <w:b/>
          <w:bCs/>
          <w:color w:val="auto"/>
        </w:rPr>
        <w:t>Kinney 3</w:t>
      </w:r>
    </w:p>
    <w:p w14:paraId="4F7C9C49" w14:textId="5C0A558B" w:rsidR="00014925" w:rsidRPr="005C4501" w:rsidRDefault="00014925" w:rsidP="00CE224C">
      <w:pPr>
        <w:jc w:val="both"/>
        <w:rPr>
          <w:rFonts w:cs="Times New Roman"/>
          <w:b/>
          <w:bCs/>
        </w:rPr>
      </w:pPr>
      <w:r w:rsidRPr="005C4501">
        <w:rPr>
          <w:rFonts w:cs="Times New Roman"/>
          <w:b/>
          <w:bCs/>
        </w:rPr>
        <w:t>What</w:t>
      </w:r>
    </w:p>
    <w:p w14:paraId="0676B0C9" w14:textId="2CB860AE" w:rsidR="00112A36" w:rsidRPr="005C4501" w:rsidRDefault="00CE224C" w:rsidP="00CE224C">
      <w:pPr>
        <w:jc w:val="both"/>
        <w:rPr>
          <w:rFonts w:cs="Times New Roman"/>
        </w:rPr>
      </w:pPr>
      <w:r w:rsidRPr="005C4501">
        <w:rPr>
          <w:rFonts w:cs="Times New Roman"/>
        </w:rPr>
        <w:t>The Statement of Cash Flows (“SCF”) has</w:t>
      </w:r>
      <w:r w:rsidR="005B2875" w:rsidRPr="005C4501">
        <w:rPr>
          <w:rFonts w:cs="Times New Roman"/>
        </w:rPr>
        <w:t xml:space="preserve"> consistently been a leading area of restatements</w:t>
      </w:r>
      <w:r w:rsidRPr="005C4501">
        <w:rPr>
          <w:rFonts w:cs="Times New Roman"/>
        </w:rPr>
        <w:t xml:space="preserve">. </w:t>
      </w:r>
      <w:r w:rsidR="00593D39" w:rsidRPr="005C4501">
        <w:rPr>
          <w:rFonts w:cs="Times New Roman"/>
        </w:rPr>
        <w:t>Notably, a</w:t>
      </w:r>
      <w:r w:rsidRPr="005C4501">
        <w:rPr>
          <w:rFonts w:cs="Times New Roman"/>
        </w:rPr>
        <w:t xml:space="preserve"> large proportion of </w:t>
      </w:r>
      <w:r w:rsidR="00725B73" w:rsidRPr="005C4501">
        <w:rPr>
          <w:rFonts w:cs="Times New Roman"/>
        </w:rPr>
        <w:t xml:space="preserve">cash flow </w:t>
      </w:r>
      <w:r w:rsidRPr="005C4501">
        <w:rPr>
          <w:rFonts w:cs="Times New Roman"/>
        </w:rPr>
        <w:t>restatements are disclosed as “little r” restatements</w:t>
      </w:r>
      <w:r w:rsidR="005B2875" w:rsidRPr="005C4501">
        <w:rPr>
          <w:rFonts w:cs="Times New Roman"/>
        </w:rPr>
        <w:t>,</w:t>
      </w:r>
      <w:r w:rsidRPr="005C4501">
        <w:rPr>
          <w:rFonts w:cs="Times New Roman"/>
        </w:rPr>
        <w:t xml:space="preserve"> </w:t>
      </w:r>
      <w:r w:rsidR="00593D39" w:rsidRPr="005C4501">
        <w:rPr>
          <w:rFonts w:cs="Times New Roman"/>
        </w:rPr>
        <w:t>implying that issuers and auditors view</w:t>
      </w:r>
      <w:r w:rsidRPr="005C4501">
        <w:rPr>
          <w:rFonts w:cs="Times New Roman"/>
        </w:rPr>
        <w:t xml:space="preserve"> SCF errors</w:t>
      </w:r>
      <w:r w:rsidR="00593D39" w:rsidRPr="005C4501">
        <w:rPr>
          <w:rFonts w:cs="Times New Roman"/>
        </w:rPr>
        <w:t xml:space="preserve">, which are </w:t>
      </w:r>
      <w:r w:rsidR="00880B90" w:rsidRPr="005C4501">
        <w:rPr>
          <w:rFonts w:cs="Times New Roman"/>
        </w:rPr>
        <w:t>primarily</w:t>
      </w:r>
      <w:r w:rsidR="00593D39" w:rsidRPr="005C4501">
        <w:rPr>
          <w:rFonts w:cs="Times New Roman"/>
        </w:rPr>
        <w:t xml:space="preserve"> classification related,</w:t>
      </w:r>
      <w:r w:rsidRPr="005C4501">
        <w:rPr>
          <w:rFonts w:cs="Times New Roman"/>
        </w:rPr>
        <w:t xml:space="preserve"> </w:t>
      </w:r>
      <w:r w:rsidR="00593D39" w:rsidRPr="005C4501">
        <w:rPr>
          <w:rFonts w:cs="Times New Roman"/>
        </w:rPr>
        <w:t>as immaterial.</w:t>
      </w:r>
      <w:r w:rsidR="00C549D0" w:rsidRPr="005C4501">
        <w:rPr>
          <w:rFonts w:cs="Times New Roman"/>
        </w:rPr>
        <w:t xml:space="preserve"> </w:t>
      </w:r>
      <w:r w:rsidR="00593D39" w:rsidRPr="005C4501">
        <w:rPr>
          <w:rFonts w:cs="Times New Roman"/>
        </w:rPr>
        <w:t>F</w:t>
      </w:r>
      <w:r w:rsidRPr="005C4501">
        <w:rPr>
          <w:rFonts w:cs="Times New Roman"/>
        </w:rPr>
        <w:t xml:space="preserve">ormer SEC Chief Accountant, Paul Munter, </w:t>
      </w:r>
      <w:r w:rsidR="00861F5A" w:rsidRPr="005C4501">
        <w:rPr>
          <w:rFonts w:cs="Times New Roman"/>
        </w:rPr>
        <w:t xml:space="preserve">recently </w:t>
      </w:r>
      <w:r w:rsidRPr="005C4501">
        <w:rPr>
          <w:rFonts w:cs="Times New Roman"/>
        </w:rPr>
        <w:t xml:space="preserve">raised issue with </w:t>
      </w:r>
      <w:r w:rsidR="00593D39" w:rsidRPr="005C4501">
        <w:rPr>
          <w:rFonts w:cs="Times New Roman"/>
        </w:rPr>
        <w:t xml:space="preserve">this practice, reminding </w:t>
      </w:r>
      <w:r w:rsidRPr="005C4501">
        <w:rPr>
          <w:rFonts w:cs="Times New Roman"/>
        </w:rPr>
        <w:t>issuers</w:t>
      </w:r>
      <w:r w:rsidR="00676B27" w:rsidRPr="005C4501">
        <w:rPr>
          <w:rFonts w:cs="Times New Roman"/>
        </w:rPr>
        <w:t xml:space="preserve"> and auditors</w:t>
      </w:r>
      <w:r w:rsidRPr="005C4501">
        <w:rPr>
          <w:rFonts w:cs="Times New Roman"/>
        </w:rPr>
        <w:t xml:space="preserve"> that</w:t>
      </w:r>
      <w:r w:rsidR="00593D39" w:rsidRPr="005C4501">
        <w:rPr>
          <w:rFonts w:cs="Times New Roman"/>
        </w:rPr>
        <w:t xml:space="preserve"> errors stemming from</w:t>
      </w:r>
      <w:r w:rsidRPr="005C4501">
        <w:rPr>
          <w:rFonts w:cs="Times New Roman"/>
        </w:rPr>
        <w:t xml:space="preserve"> </w:t>
      </w:r>
      <w:r w:rsidR="00593D39" w:rsidRPr="005C4501">
        <w:rPr>
          <w:rFonts w:cs="Times New Roman"/>
        </w:rPr>
        <w:t xml:space="preserve">incorrect </w:t>
      </w:r>
      <w:r w:rsidRPr="005C4501">
        <w:rPr>
          <w:rFonts w:cs="Times New Roman"/>
        </w:rPr>
        <w:t xml:space="preserve">classification </w:t>
      </w:r>
      <w:r w:rsidR="00593D39" w:rsidRPr="005C4501">
        <w:rPr>
          <w:rFonts w:cs="Times New Roman"/>
        </w:rPr>
        <w:t xml:space="preserve">do not necessarily imply the error was immaterial. </w:t>
      </w:r>
      <w:r w:rsidR="00287435" w:rsidRPr="005C4501">
        <w:rPr>
          <w:rFonts w:cs="Times New Roman"/>
        </w:rPr>
        <w:t>In fact</w:t>
      </w:r>
      <w:r w:rsidR="00593D39" w:rsidRPr="005C4501">
        <w:rPr>
          <w:rFonts w:cs="Times New Roman"/>
        </w:rPr>
        <w:t xml:space="preserve">, </w:t>
      </w:r>
      <w:r w:rsidR="00B7773F" w:rsidRPr="005C4501">
        <w:rPr>
          <w:rFonts w:cs="Times New Roman"/>
        </w:rPr>
        <w:t>the</w:t>
      </w:r>
      <w:r w:rsidR="00593D39" w:rsidRPr="005C4501">
        <w:rPr>
          <w:rFonts w:cs="Times New Roman"/>
        </w:rPr>
        <w:t xml:space="preserve"> informativeness of the SCF </w:t>
      </w:r>
      <w:r w:rsidR="00B7773F" w:rsidRPr="005C4501">
        <w:rPr>
          <w:rFonts w:cs="Times New Roman"/>
        </w:rPr>
        <w:t>relies on</w:t>
      </w:r>
      <w:r w:rsidR="00593D39" w:rsidRPr="005C4501">
        <w:rPr>
          <w:rFonts w:cs="Times New Roman"/>
        </w:rPr>
        <w:t xml:space="preserve"> correct classification </w:t>
      </w:r>
      <w:r w:rsidR="00B7773F" w:rsidRPr="005C4501">
        <w:rPr>
          <w:rFonts w:cs="Times New Roman"/>
        </w:rPr>
        <w:t>of cash flow items within each section</w:t>
      </w:r>
      <w:r w:rsidR="00593D39" w:rsidRPr="005C4501">
        <w:rPr>
          <w:rFonts w:cs="Times New Roman"/>
        </w:rPr>
        <w:t>.</w:t>
      </w:r>
      <w:r w:rsidR="00676B27" w:rsidRPr="005C4501">
        <w:rPr>
          <w:rFonts w:cs="Times New Roman"/>
        </w:rPr>
        <w:t xml:space="preserve"> T</w:t>
      </w:r>
      <w:r w:rsidR="00C549D0" w:rsidRPr="005C4501">
        <w:rPr>
          <w:rFonts w:cs="Times New Roman"/>
        </w:rPr>
        <w:t xml:space="preserve">hese trends </w:t>
      </w:r>
      <w:r w:rsidR="00861F5A" w:rsidRPr="005C4501">
        <w:rPr>
          <w:rFonts w:cs="Times New Roman"/>
        </w:rPr>
        <w:t xml:space="preserve">suggest that preparers and auditors may be </w:t>
      </w:r>
      <w:commentRangeStart w:id="0"/>
      <w:r w:rsidR="00861F5A" w:rsidRPr="005C4501">
        <w:rPr>
          <w:rFonts w:cs="Times New Roman"/>
        </w:rPr>
        <w:t>applying a lower threshold of scrutiny to SCF errors compared to other financial statements</w:t>
      </w:r>
      <w:commentRangeEnd w:id="0"/>
      <w:r w:rsidR="007569CC" w:rsidRPr="005C4501">
        <w:rPr>
          <w:rStyle w:val="CommentReference"/>
          <w:rFonts w:cs="Times New Roman"/>
          <w:sz w:val="22"/>
          <w:szCs w:val="22"/>
        </w:rPr>
        <w:commentReference w:id="0"/>
      </w:r>
      <w:r w:rsidR="00861F5A" w:rsidRPr="005C4501">
        <w:rPr>
          <w:rFonts w:cs="Times New Roman"/>
        </w:rPr>
        <w:t>.</w:t>
      </w:r>
      <w:r w:rsidRPr="005C4501">
        <w:rPr>
          <w:rFonts w:cs="Times New Roman"/>
        </w:rPr>
        <w:t xml:space="preserve"> Accordingly, we </w:t>
      </w:r>
      <w:r w:rsidR="00C549D0" w:rsidRPr="005C4501">
        <w:rPr>
          <w:rFonts w:cs="Times New Roman"/>
        </w:rPr>
        <w:t>examine</w:t>
      </w:r>
      <w:r w:rsidRPr="005C4501">
        <w:rPr>
          <w:rFonts w:cs="Times New Roman"/>
        </w:rPr>
        <w:t xml:space="preserve"> whether </w:t>
      </w:r>
      <w:r w:rsidR="00A64344" w:rsidRPr="005C4501">
        <w:rPr>
          <w:rFonts w:cs="Times New Roman"/>
        </w:rPr>
        <w:t>SCF errors</w:t>
      </w:r>
      <w:r w:rsidR="00183A38" w:rsidRPr="005C4501">
        <w:rPr>
          <w:rFonts w:cs="Times New Roman"/>
        </w:rPr>
        <w:t xml:space="preserve"> are systematically treated as immaterial relative to other types of errors, and whether these errors materially affected financial statement users. </w:t>
      </w:r>
    </w:p>
    <w:p w14:paraId="7F1F10EE" w14:textId="162EBFB5" w:rsidR="00014925" w:rsidRPr="005C4501" w:rsidRDefault="00014925" w:rsidP="00CE224C">
      <w:pPr>
        <w:jc w:val="both"/>
        <w:rPr>
          <w:rFonts w:cs="Times New Roman"/>
          <w:b/>
          <w:bCs/>
        </w:rPr>
      </w:pPr>
      <w:r w:rsidRPr="005C4501">
        <w:rPr>
          <w:rFonts w:cs="Times New Roman"/>
          <w:b/>
          <w:bCs/>
        </w:rPr>
        <w:t>Why</w:t>
      </w:r>
    </w:p>
    <w:p w14:paraId="4321DCA4" w14:textId="17298239" w:rsidR="003D1ADE" w:rsidRPr="005C4501" w:rsidRDefault="003D1ADE" w:rsidP="003D1ADE">
      <w:pPr>
        <w:jc w:val="both"/>
        <w:rPr>
          <w:rFonts w:cs="Times New Roman"/>
        </w:rPr>
      </w:pPr>
      <w:r w:rsidRPr="005C4501">
        <w:rPr>
          <w:rFonts w:cs="Times New Roman"/>
        </w:rPr>
        <w:t xml:space="preserve">This research is important because the SCF is a required financial statement and a critical source of information for investors, creditors, and other financial statement users. </w:t>
      </w:r>
      <w:r w:rsidR="00287435" w:rsidRPr="005C4501">
        <w:rPr>
          <w:rFonts w:cs="Times New Roman"/>
        </w:rPr>
        <w:t>Therefore, u</w:t>
      </w:r>
      <w:r w:rsidRPr="005C4501">
        <w:rPr>
          <w:rFonts w:cs="Times New Roman"/>
        </w:rPr>
        <w:t>nderstanding whether the SCF is prepared and audited</w:t>
      </w:r>
      <w:r w:rsidR="00AE0B44" w:rsidRPr="005C4501">
        <w:rPr>
          <w:rFonts w:cs="Times New Roman"/>
        </w:rPr>
        <w:t xml:space="preserve"> to the same standard</w:t>
      </w:r>
      <w:r w:rsidRPr="005C4501">
        <w:rPr>
          <w:rFonts w:cs="Times New Roman"/>
        </w:rPr>
        <w:t xml:space="preserve"> as other financial statements is essential for users who rely on cash flow information for valuation, credit analysis, liquidity assessment</w:t>
      </w:r>
      <w:r w:rsidR="00055852" w:rsidRPr="005C4501">
        <w:rPr>
          <w:rFonts w:cs="Times New Roman"/>
        </w:rPr>
        <w:t>, and contracting</w:t>
      </w:r>
      <w:r w:rsidRPr="005C4501">
        <w:rPr>
          <w:rFonts w:cs="Times New Roman"/>
        </w:rPr>
        <w:t xml:space="preserve">. </w:t>
      </w:r>
      <w:r w:rsidR="00A64344" w:rsidRPr="005C4501">
        <w:rPr>
          <w:rFonts w:cs="Times New Roman"/>
        </w:rPr>
        <w:t>This research is also important f</w:t>
      </w:r>
      <w:r w:rsidRPr="005C4501">
        <w:rPr>
          <w:rFonts w:cs="Times New Roman"/>
        </w:rPr>
        <w:t>or auditors</w:t>
      </w:r>
      <w:r w:rsidR="00A64344" w:rsidRPr="005C4501">
        <w:rPr>
          <w:rFonts w:cs="Times New Roman"/>
        </w:rPr>
        <w:t xml:space="preserve"> </w:t>
      </w:r>
      <w:r w:rsidR="00287435" w:rsidRPr="005C4501">
        <w:rPr>
          <w:rFonts w:cs="Times New Roman"/>
        </w:rPr>
        <w:t>and regulators. For auditors, evidence of a mismatch between auditors’ and financial statement users’ perceptions of the materiality of SCF errors could lead to revised audit risk assessments and audit procedures.</w:t>
      </w:r>
      <w:r w:rsidR="00055852" w:rsidRPr="005C4501">
        <w:rPr>
          <w:rFonts w:cs="Times New Roman"/>
        </w:rPr>
        <w:t xml:space="preserve"> </w:t>
      </w:r>
      <w:r w:rsidR="00287435" w:rsidRPr="005C4501">
        <w:rPr>
          <w:rFonts w:cs="Times New Roman"/>
        </w:rPr>
        <w:t xml:space="preserve">For </w:t>
      </w:r>
      <w:r w:rsidR="00A64344" w:rsidRPr="005C4501">
        <w:rPr>
          <w:rFonts w:cs="Times New Roman"/>
        </w:rPr>
        <w:t>regulators</w:t>
      </w:r>
      <w:r w:rsidR="00287435" w:rsidRPr="005C4501">
        <w:rPr>
          <w:rFonts w:cs="Times New Roman"/>
        </w:rPr>
        <w:t xml:space="preserve">, our </w:t>
      </w:r>
      <w:r w:rsidR="006848A3" w:rsidRPr="005C4501">
        <w:rPr>
          <w:rFonts w:cs="Times New Roman"/>
        </w:rPr>
        <w:t xml:space="preserve">research is timely and </w:t>
      </w:r>
      <w:r w:rsidR="00287435" w:rsidRPr="005C4501">
        <w:rPr>
          <w:rFonts w:cs="Times New Roman"/>
        </w:rPr>
        <w:t xml:space="preserve">could inform enforcement decisions </w:t>
      </w:r>
      <w:r w:rsidR="006848A3" w:rsidRPr="005C4501">
        <w:rPr>
          <w:rFonts w:cs="Times New Roman"/>
        </w:rPr>
        <w:t>given</w:t>
      </w:r>
      <w:r w:rsidRPr="005C4501">
        <w:rPr>
          <w:rFonts w:cs="Times New Roman"/>
        </w:rPr>
        <w:t xml:space="preserve"> </w:t>
      </w:r>
      <w:r w:rsidR="00287435" w:rsidRPr="005C4501">
        <w:rPr>
          <w:rFonts w:cs="Times New Roman"/>
        </w:rPr>
        <w:t>the r</w:t>
      </w:r>
      <w:r w:rsidRPr="005C4501">
        <w:rPr>
          <w:rFonts w:cs="Times New Roman"/>
        </w:rPr>
        <w:t xml:space="preserve">ecent concerns </w:t>
      </w:r>
      <w:r w:rsidR="005B2875" w:rsidRPr="005C4501">
        <w:rPr>
          <w:rFonts w:cs="Times New Roman"/>
        </w:rPr>
        <w:t xml:space="preserve">from the SEC </w:t>
      </w:r>
      <w:r w:rsidRPr="005C4501">
        <w:rPr>
          <w:rFonts w:cs="Times New Roman"/>
        </w:rPr>
        <w:t xml:space="preserve">about SCF materiality </w:t>
      </w:r>
      <w:commentRangeStart w:id="1"/>
      <w:r w:rsidRPr="005C4501">
        <w:rPr>
          <w:rFonts w:cs="Times New Roman"/>
        </w:rPr>
        <w:t>practices</w:t>
      </w:r>
      <w:commentRangeEnd w:id="1"/>
      <w:r w:rsidR="00380A23" w:rsidRPr="005C4501">
        <w:rPr>
          <w:rStyle w:val="CommentReference"/>
          <w:rFonts w:cs="Times New Roman"/>
          <w:sz w:val="22"/>
          <w:szCs w:val="22"/>
        </w:rPr>
        <w:commentReference w:id="1"/>
      </w:r>
      <w:r w:rsidR="00287435" w:rsidRPr="005C4501">
        <w:rPr>
          <w:rFonts w:cs="Times New Roman"/>
        </w:rPr>
        <w:t>.</w:t>
      </w:r>
    </w:p>
    <w:p w14:paraId="53A9E3AB" w14:textId="2665D4F9" w:rsidR="00014925" w:rsidRPr="005C4501" w:rsidRDefault="00014925" w:rsidP="00CE224C">
      <w:pPr>
        <w:jc w:val="both"/>
        <w:rPr>
          <w:rFonts w:cs="Times New Roman"/>
          <w:b/>
          <w:bCs/>
        </w:rPr>
      </w:pPr>
      <w:r w:rsidRPr="005C4501">
        <w:rPr>
          <w:rFonts w:cs="Times New Roman"/>
          <w:b/>
          <w:bCs/>
        </w:rPr>
        <w:t>How</w:t>
      </w:r>
    </w:p>
    <w:p w14:paraId="3F011A6B" w14:textId="5D6C1D66" w:rsidR="00372605" w:rsidRPr="005C4501" w:rsidRDefault="00372605" w:rsidP="00372605">
      <w:pPr>
        <w:pStyle w:val="ListParagraph"/>
        <w:numPr>
          <w:ilvl w:val="0"/>
          <w:numId w:val="1"/>
        </w:numPr>
        <w:rPr>
          <w:rFonts w:cs="Times New Roman"/>
          <w:b/>
          <w:bCs/>
        </w:rPr>
      </w:pPr>
      <w:r w:rsidRPr="005C4501">
        <w:rPr>
          <w:rFonts w:cs="Times New Roman"/>
          <w:b/>
          <w:bCs/>
        </w:rPr>
        <w:t>Descriptives</w:t>
      </w:r>
    </w:p>
    <w:p w14:paraId="12704FA3" w14:textId="16197F79" w:rsidR="004D5E92" w:rsidRPr="005C4501" w:rsidRDefault="004D5E92" w:rsidP="00372605">
      <w:pPr>
        <w:pStyle w:val="ListParagraph"/>
        <w:numPr>
          <w:ilvl w:val="1"/>
          <w:numId w:val="1"/>
        </w:numPr>
        <w:rPr>
          <w:rFonts w:cs="Times New Roman"/>
        </w:rPr>
      </w:pPr>
      <w:r w:rsidRPr="005C4501">
        <w:rPr>
          <w:rFonts w:cs="Times New Roman"/>
        </w:rPr>
        <w:t xml:space="preserve">Figure 1: Yearly percentage of </w:t>
      </w:r>
      <w:r w:rsidR="00966225" w:rsidRPr="005C4501">
        <w:rPr>
          <w:rFonts w:cs="Times New Roman"/>
        </w:rPr>
        <w:t>misstatements</w:t>
      </w:r>
      <w:r w:rsidRPr="005C4501">
        <w:rPr>
          <w:rFonts w:cs="Times New Roman"/>
        </w:rPr>
        <w:t xml:space="preserve"> with SCF error</w:t>
      </w:r>
      <w:r w:rsidR="0029651C" w:rsidRPr="005C4501">
        <w:rPr>
          <w:rFonts w:cs="Times New Roman"/>
        </w:rPr>
        <w:t xml:space="preserve"> compared to other common GAAP errors</w:t>
      </w:r>
      <w:r w:rsidR="005B366F" w:rsidRPr="005C4501">
        <w:rPr>
          <w:rFonts w:cs="Times New Roman"/>
        </w:rPr>
        <w:t xml:space="preserve"> (</w:t>
      </w:r>
      <w:r w:rsidR="00966225" w:rsidRPr="005C4501">
        <w:rPr>
          <w:rFonts w:cs="Times New Roman"/>
        </w:rPr>
        <w:t>misstatement</w:t>
      </w:r>
      <w:r w:rsidR="005B366F" w:rsidRPr="005C4501">
        <w:rPr>
          <w:rFonts w:cs="Times New Roman"/>
        </w:rPr>
        <w:t xml:space="preserve"> level)</w:t>
      </w:r>
    </w:p>
    <w:p w14:paraId="31C6A22A" w14:textId="6738A019" w:rsidR="00AE0B44" w:rsidRPr="005C4501" w:rsidRDefault="004D5E92" w:rsidP="00AE0B44">
      <w:pPr>
        <w:pStyle w:val="ListParagraph"/>
        <w:numPr>
          <w:ilvl w:val="1"/>
          <w:numId w:val="1"/>
        </w:numPr>
        <w:rPr>
          <w:rFonts w:cs="Times New Roman"/>
        </w:rPr>
      </w:pPr>
      <w:r w:rsidRPr="005C4501">
        <w:rPr>
          <w:rFonts w:cs="Times New Roman"/>
        </w:rPr>
        <w:t>Table</w:t>
      </w:r>
      <w:r w:rsidR="005C4501">
        <w:rPr>
          <w:rFonts w:cs="Times New Roman"/>
        </w:rPr>
        <w:t xml:space="preserve"> X</w:t>
      </w:r>
      <w:r w:rsidRPr="005C4501">
        <w:rPr>
          <w:rFonts w:cs="Times New Roman"/>
        </w:rPr>
        <w:t xml:space="preserve">: Use XBRL tags to quantify </w:t>
      </w:r>
      <w:r w:rsidR="00D0140A" w:rsidRPr="005C4501">
        <w:rPr>
          <w:rFonts w:cs="Times New Roman"/>
        </w:rPr>
        <w:t xml:space="preserve">the </w:t>
      </w:r>
      <w:r w:rsidRPr="005C4501">
        <w:rPr>
          <w:rFonts w:cs="Times New Roman"/>
        </w:rPr>
        <w:t>most frequent SCF</w:t>
      </w:r>
      <w:r w:rsidR="00EA7E8C" w:rsidRPr="005C4501">
        <w:rPr>
          <w:rFonts w:cs="Times New Roman"/>
        </w:rPr>
        <w:t xml:space="preserve"> line-items that are misstated</w:t>
      </w:r>
      <w:r w:rsidR="00AE0B44" w:rsidRPr="005C4501">
        <w:rPr>
          <w:rFonts w:cs="Times New Roman"/>
        </w:rPr>
        <w:t>. Quantify frequency main subsection totals change as a result.</w:t>
      </w:r>
      <w:r w:rsidRPr="005C4501">
        <w:rPr>
          <w:rFonts w:cs="Times New Roman"/>
        </w:rPr>
        <w:t xml:space="preserve"> </w:t>
      </w:r>
      <w:r w:rsidR="005B366F" w:rsidRPr="005C4501">
        <w:rPr>
          <w:rFonts w:cs="Times New Roman"/>
        </w:rPr>
        <w:t>(</w:t>
      </w:r>
      <w:r w:rsidR="00183A38" w:rsidRPr="005C4501">
        <w:rPr>
          <w:rFonts w:cs="Times New Roman"/>
        </w:rPr>
        <w:t xml:space="preserve">misstatement </w:t>
      </w:r>
      <w:r w:rsidR="005B366F" w:rsidRPr="005C4501">
        <w:rPr>
          <w:rFonts w:cs="Times New Roman"/>
        </w:rPr>
        <w:t>level)</w:t>
      </w:r>
    </w:p>
    <w:p w14:paraId="6AF9EE54" w14:textId="5DDD1951" w:rsidR="00014925" w:rsidRPr="005C4501" w:rsidRDefault="004E31D6" w:rsidP="00372605">
      <w:pPr>
        <w:pStyle w:val="ListParagraph"/>
        <w:numPr>
          <w:ilvl w:val="0"/>
          <w:numId w:val="1"/>
        </w:numPr>
        <w:jc w:val="both"/>
        <w:rPr>
          <w:rFonts w:cs="Times New Roman"/>
          <w:b/>
          <w:bCs/>
        </w:rPr>
      </w:pPr>
      <w:r w:rsidRPr="005C4501">
        <w:rPr>
          <w:rFonts w:cs="Times New Roman"/>
          <w:b/>
          <w:bCs/>
        </w:rPr>
        <w:t xml:space="preserve">RQ1: </w:t>
      </w:r>
      <w:r w:rsidR="004D5E92" w:rsidRPr="005C4501">
        <w:rPr>
          <w:rFonts w:cs="Times New Roman"/>
          <w:b/>
          <w:bCs/>
        </w:rPr>
        <w:t>Are</w:t>
      </w:r>
      <w:r w:rsidRPr="005C4501">
        <w:rPr>
          <w:rFonts w:cs="Times New Roman"/>
          <w:b/>
          <w:bCs/>
        </w:rPr>
        <w:t xml:space="preserve"> preparers</w:t>
      </w:r>
      <w:r w:rsidR="00812D47" w:rsidRPr="005C4501">
        <w:rPr>
          <w:rFonts w:cs="Times New Roman"/>
          <w:b/>
          <w:bCs/>
        </w:rPr>
        <w:t>/</w:t>
      </w:r>
      <w:r w:rsidRPr="005C4501">
        <w:rPr>
          <w:rFonts w:cs="Times New Roman"/>
          <w:b/>
          <w:bCs/>
        </w:rPr>
        <w:t xml:space="preserve">auditors </w:t>
      </w:r>
      <w:r w:rsidR="004D5E92" w:rsidRPr="005C4501">
        <w:rPr>
          <w:rFonts w:cs="Times New Roman"/>
          <w:b/>
          <w:bCs/>
        </w:rPr>
        <w:t>more likely to view</w:t>
      </w:r>
      <w:r w:rsidRPr="005C4501">
        <w:rPr>
          <w:rFonts w:cs="Times New Roman"/>
          <w:b/>
          <w:bCs/>
        </w:rPr>
        <w:t xml:space="preserve"> SCF </w:t>
      </w:r>
      <w:r w:rsidR="00EA7E8C" w:rsidRPr="005C4501">
        <w:rPr>
          <w:rFonts w:cs="Times New Roman"/>
          <w:b/>
          <w:bCs/>
        </w:rPr>
        <w:t>misstatements</w:t>
      </w:r>
      <w:r w:rsidRPr="005C4501">
        <w:rPr>
          <w:rFonts w:cs="Times New Roman"/>
          <w:b/>
          <w:bCs/>
        </w:rPr>
        <w:t xml:space="preserve"> as immaterial relative to other types of errors?</w:t>
      </w:r>
    </w:p>
    <w:p w14:paraId="145CF00E" w14:textId="5FDD7CA1" w:rsidR="004E31D6" w:rsidRPr="005C4501" w:rsidRDefault="004E31D6" w:rsidP="00372605">
      <w:pPr>
        <w:pStyle w:val="ListParagraph"/>
        <w:numPr>
          <w:ilvl w:val="1"/>
          <w:numId w:val="1"/>
        </w:numPr>
        <w:rPr>
          <w:rFonts w:cs="Times New Roman"/>
        </w:rPr>
      </w:pPr>
      <w:r w:rsidRPr="005C4501">
        <w:rPr>
          <w:rFonts w:cs="Times New Roman"/>
        </w:rPr>
        <w:t>Table</w:t>
      </w:r>
      <w:r w:rsidR="005C4501">
        <w:rPr>
          <w:rFonts w:cs="Times New Roman"/>
        </w:rPr>
        <w:t xml:space="preserve"> 1</w:t>
      </w:r>
      <w:r w:rsidRPr="005C4501">
        <w:rPr>
          <w:rFonts w:cs="Times New Roman"/>
        </w:rPr>
        <w:t xml:space="preserve">: </w:t>
      </w:r>
      <w:r w:rsidR="00D0140A" w:rsidRPr="005C4501">
        <w:rPr>
          <w:rFonts w:cs="Times New Roman"/>
        </w:rPr>
        <w:t>Broadly t</w:t>
      </w:r>
      <w:r w:rsidRPr="005C4501">
        <w:rPr>
          <w:rFonts w:cs="Times New Roman"/>
        </w:rPr>
        <w:t xml:space="preserve">est </w:t>
      </w:r>
      <w:r w:rsidR="005B366F" w:rsidRPr="005C4501">
        <w:rPr>
          <w:rFonts w:cs="Times New Roman"/>
        </w:rPr>
        <w:t>whether various types of errors in GAAP are more</w:t>
      </w:r>
      <w:r w:rsidR="00D0140A" w:rsidRPr="005C4501">
        <w:rPr>
          <w:rFonts w:cs="Times New Roman"/>
        </w:rPr>
        <w:t xml:space="preserve"> or </w:t>
      </w:r>
      <w:r w:rsidR="005B366F" w:rsidRPr="005C4501">
        <w:rPr>
          <w:rFonts w:cs="Times New Roman"/>
        </w:rPr>
        <w:t xml:space="preserve">less likely to be </w:t>
      </w:r>
      <w:r w:rsidRPr="005C4501">
        <w:rPr>
          <w:rFonts w:cs="Times New Roman"/>
        </w:rPr>
        <w:t xml:space="preserve">disclosed as </w:t>
      </w:r>
      <w:r w:rsidR="00F81A2D" w:rsidRPr="005C4501">
        <w:rPr>
          <w:rFonts w:cs="Times New Roman"/>
        </w:rPr>
        <w:t>restatement</w:t>
      </w:r>
      <w:r w:rsidRPr="005C4501">
        <w:rPr>
          <w:rFonts w:cs="Times New Roman"/>
        </w:rPr>
        <w:t xml:space="preserve"> vs </w:t>
      </w:r>
      <w:r w:rsidR="00F81A2D" w:rsidRPr="005C4501">
        <w:rPr>
          <w:rFonts w:cs="Times New Roman"/>
        </w:rPr>
        <w:t>revision/adjustment</w:t>
      </w:r>
      <w:r w:rsidR="005B366F" w:rsidRPr="005C4501">
        <w:rPr>
          <w:rFonts w:cs="Times New Roman"/>
        </w:rPr>
        <w:t xml:space="preserve"> (</w:t>
      </w:r>
      <w:r w:rsidR="00F81A2D" w:rsidRPr="005C4501">
        <w:rPr>
          <w:rFonts w:cs="Times New Roman"/>
        </w:rPr>
        <w:t>misstatement</w:t>
      </w:r>
      <w:r w:rsidR="005B366F" w:rsidRPr="005C4501">
        <w:rPr>
          <w:rFonts w:cs="Times New Roman"/>
        </w:rPr>
        <w:t xml:space="preserve"> level)</w:t>
      </w:r>
    </w:p>
    <w:p w14:paraId="14ED6BE1" w14:textId="32F2C285" w:rsidR="00A956A6" w:rsidRPr="005C4501" w:rsidRDefault="004E31D6" w:rsidP="00372605">
      <w:pPr>
        <w:pStyle w:val="ListParagraph"/>
        <w:numPr>
          <w:ilvl w:val="1"/>
          <w:numId w:val="1"/>
        </w:numPr>
        <w:rPr>
          <w:rFonts w:cs="Times New Roman"/>
        </w:rPr>
      </w:pPr>
      <w:r w:rsidRPr="005C4501">
        <w:rPr>
          <w:rFonts w:cs="Times New Roman"/>
        </w:rPr>
        <w:t>Table: Difference in disclosure method for</w:t>
      </w:r>
      <w:r w:rsidR="00812D47" w:rsidRPr="005C4501">
        <w:rPr>
          <w:rFonts w:cs="Times New Roman"/>
        </w:rPr>
        <w:t xml:space="preserve"> cash flow</w:t>
      </w:r>
      <w:r w:rsidRPr="005C4501">
        <w:rPr>
          <w:rFonts w:cs="Times New Roman"/>
        </w:rPr>
        <w:t xml:space="preserve"> </w:t>
      </w:r>
      <w:r w:rsidR="00F81A2D" w:rsidRPr="005C4501">
        <w:rPr>
          <w:rFonts w:cs="Times New Roman"/>
        </w:rPr>
        <w:t>misstatements</w:t>
      </w:r>
      <w:r w:rsidR="005B366F" w:rsidRPr="005C4501">
        <w:rPr>
          <w:rFonts w:cs="Times New Roman"/>
        </w:rPr>
        <w:t xml:space="preserve"> (</w:t>
      </w:r>
      <w:r w:rsidR="00F81A2D" w:rsidRPr="005C4501">
        <w:rPr>
          <w:rFonts w:cs="Times New Roman"/>
        </w:rPr>
        <w:t>misstatement</w:t>
      </w:r>
      <w:r w:rsidR="005B366F" w:rsidRPr="005C4501">
        <w:rPr>
          <w:rFonts w:cs="Times New Roman"/>
        </w:rPr>
        <w:t xml:space="preserve"> level)</w:t>
      </w:r>
    </w:p>
    <w:p w14:paraId="2A5B9F75" w14:textId="6FFFDF54" w:rsidR="004E31D6" w:rsidRPr="005C4501" w:rsidRDefault="00506D08" w:rsidP="00372605">
      <w:pPr>
        <w:pStyle w:val="ListParagraph"/>
        <w:numPr>
          <w:ilvl w:val="2"/>
          <w:numId w:val="1"/>
        </w:numPr>
        <w:rPr>
          <w:rFonts w:eastAsiaTheme="minorEastAsia" w:cs="Times New Roman"/>
        </w:rPr>
      </w:pPr>
      <m:oMath>
        <m:r>
          <w:rPr>
            <w:rFonts w:ascii="Cambria Math" w:hAnsi="Cambria Math" w:cs="Times New Roman"/>
          </w:rPr>
          <m:t>Revision= α+ β SCF Error+Controls+ ε</m:t>
        </m:r>
      </m:oMath>
    </w:p>
    <w:p w14:paraId="5F42CEC4" w14:textId="51A179C8" w:rsidR="0029651C" w:rsidRPr="005C4501" w:rsidRDefault="0029651C" w:rsidP="0029651C">
      <w:pPr>
        <w:pStyle w:val="ListParagraph"/>
        <w:numPr>
          <w:ilvl w:val="2"/>
          <w:numId w:val="1"/>
        </w:numPr>
        <w:rPr>
          <w:rFonts w:cs="Times New Roman"/>
        </w:rPr>
      </w:pPr>
      <w:r w:rsidRPr="005C4501">
        <w:rPr>
          <w:rFonts w:cs="Times New Roman"/>
          <w:u w:val="single"/>
        </w:rPr>
        <w:t>Prediction</w:t>
      </w:r>
      <w:r w:rsidRPr="005C4501">
        <w:rPr>
          <w:rFonts w:cs="Times New Roman"/>
        </w:rPr>
        <w:t xml:space="preserve">: </w:t>
      </w:r>
      <w:r w:rsidRPr="005C4501">
        <w:rPr>
          <w:rFonts w:cs="Times New Roman"/>
          <w:i/>
          <w:iCs/>
        </w:rPr>
        <w:t>SCF Error</w:t>
      </w:r>
      <w:r w:rsidRPr="005C4501">
        <w:rPr>
          <w:rFonts w:cs="Times New Roman"/>
        </w:rPr>
        <w:t xml:space="preserve"> is positive suggesting </w:t>
      </w:r>
      <w:r w:rsidR="00506D08" w:rsidRPr="005C4501">
        <w:rPr>
          <w:rFonts w:cs="Times New Roman"/>
        </w:rPr>
        <w:t>misstatements</w:t>
      </w:r>
      <w:r w:rsidRPr="005C4501">
        <w:rPr>
          <w:rFonts w:cs="Times New Roman"/>
        </w:rPr>
        <w:t xml:space="preserve"> with </w:t>
      </w:r>
      <w:r w:rsidR="00812D47" w:rsidRPr="005C4501">
        <w:rPr>
          <w:rFonts w:cs="Times New Roman"/>
        </w:rPr>
        <w:t xml:space="preserve">a </w:t>
      </w:r>
      <w:r w:rsidRPr="005C4501">
        <w:rPr>
          <w:rFonts w:cs="Times New Roman"/>
        </w:rPr>
        <w:t xml:space="preserve">cash flow error are more likely to be disclosed as a </w:t>
      </w:r>
      <w:r w:rsidR="00506D08" w:rsidRPr="005C4501">
        <w:rPr>
          <w:rFonts w:cs="Times New Roman"/>
        </w:rPr>
        <w:t>revision or out of period adjustment than a restatement</w:t>
      </w:r>
      <w:r w:rsidRPr="005C4501">
        <w:rPr>
          <w:rFonts w:cs="Times New Roman"/>
        </w:rPr>
        <w:t xml:space="preserve"> controlling for characteristics of the </w:t>
      </w:r>
      <w:commentRangeStart w:id="2"/>
      <w:r w:rsidR="00506D08" w:rsidRPr="005C4501">
        <w:rPr>
          <w:rFonts w:cs="Times New Roman"/>
        </w:rPr>
        <w:t>misstatement</w:t>
      </w:r>
      <w:commentRangeEnd w:id="2"/>
      <w:r w:rsidR="00380A23" w:rsidRPr="005C4501">
        <w:rPr>
          <w:rStyle w:val="CommentReference"/>
          <w:rFonts w:cs="Times New Roman"/>
          <w:sz w:val="22"/>
          <w:szCs w:val="22"/>
        </w:rPr>
        <w:commentReference w:id="2"/>
      </w:r>
      <w:r w:rsidR="00812D47" w:rsidRPr="005C4501">
        <w:rPr>
          <w:rFonts w:cs="Times New Roman"/>
        </w:rPr>
        <w:t>.</w:t>
      </w:r>
    </w:p>
    <w:p w14:paraId="1FBB7A1B" w14:textId="7B2E84CD" w:rsidR="00AE0B44" w:rsidRPr="005C4501" w:rsidRDefault="00AE0B44" w:rsidP="00AE0B44">
      <w:pPr>
        <w:pStyle w:val="ListParagraph"/>
        <w:numPr>
          <w:ilvl w:val="1"/>
          <w:numId w:val="1"/>
        </w:numPr>
        <w:rPr>
          <w:rFonts w:cs="Times New Roman"/>
        </w:rPr>
      </w:pPr>
      <w:r w:rsidRPr="005C4501">
        <w:rPr>
          <w:rFonts w:cs="Times New Roman"/>
          <w:u w:val="single"/>
        </w:rPr>
        <w:t>Table</w:t>
      </w:r>
      <w:r w:rsidRPr="005C4501">
        <w:rPr>
          <w:rFonts w:cs="Times New Roman"/>
        </w:rPr>
        <w:t xml:space="preserve">: Is </w:t>
      </w:r>
      <w:r w:rsidR="000A672C" w:rsidRPr="005C4501">
        <w:rPr>
          <w:rFonts w:cs="Times New Roman"/>
        </w:rPr>
        <w:t>the</w:t>
      </w:r>
      <w:r w:rsidRPr="005C4501">
        <w:rPr>
          <w:rFonts w:cs="Times New Roman"/>
        </w:rPr>
        <w:t xml:space="preserve"> difference in disclosure method for cash flow misstatements explained by materiality thresholds</w:t>
      </w:r>
      <w:r w:rsidR="000A672C" w:rsidRPr="005C4501">
        <w:rPr>
          <w:rFonts w:cs="Times New Roman"/>
        </w:rPr>
        <w:t xml:space="preserve"> by regulators or potential effects on financial statement users</w:t>
      </w:r>
      <w:r w:rsidRPr="005C4501">
        <w:rPr>
          <w:rFonts w:cs="Times New Roman"/>
        </w:rPr>
        <w:t xml:space="preserve">? Split </w:t>
      </w:r>
      <w:r w:rsidRPr="005C4501">
        <w:rPr>
          <w:rFonts w:cs="Times New Roman"/>
          <w:i/>
          <w:iCs/>
        </w:rPr>
        <w:t>SCF Error</w:t>
      </w:r>
      <w:r w:rsidRPr="005C4501">
        <w:rPr>
          <w:rFonts w:cs="Times New Roman"/>
        </w:rPr>
        <w:t xml:space="preserve"> into two dummies of </w:t>
      </w:r>
      <w:r w:rsidR="000A672C" w:rsidRPr="005C4501">
        <w:rPr>
          <w:rFonts w:cs="Times New Roman"/>
          <w:i/>
          <w:iCs/>
        </w:rPr>
        <w:t>small</w:t>
      </w:r>
      <w:r w:rsidRPr="005C4501">
        <w:rPr>
          <w:rFonts w:cs="Times New Roman"/>
        </w:rPr>
        <w:t xml:space="preserve"> and </w:t>
      </w:r>
      <w:r w:rsidR="000A672C" w:rsidRPr="005C4501">
        <w:rPr>
          <w:rFonts w:cs="Times New Roman"/>
          <w:i/>
          <w:iCs/>
        </w:rPr>
        <w:t>big</w:t>
      </w:r>
      <w:r w:rsidRPr="005C4501">
        <w:rPr>
          <w:rFonts w:cs="Times New Roman"/>
        </w:rPr>
        <w:t xml:space="preserve"> changes based on thresholds such as: explicit auditing materiality benchmarks, error enabling meet/beat CFO expectations, error </w:t>
      </w:r>
      <w:r w:rsidR="000A672C" w:rsidRPr="005C4501">
        <w:rPr>
          <w:rFonts w:cs="Times New Roman"/>
        </w:rPr>
        <w:t>in</w:t>
      </w:r>
      <w:r w:rsidRPr="005C4501">
        <w:rPr>
          <w:rFonts w:cs="Times New Roman"/>
        </w:rPr>
        <w:t xml:space="preserve"> CFO near covenant thresholds, </w:t>
      </w:r>
      <w:r w:rsidR="000A672C" w:rsidRPr="005C4501">
        <w:rPr>
          <w:rFonts w:cs="Times New Roman"/>
        </w:rPr>
        <w:t xml:space="preserve">or </w:t>
      </w:r>
      <w:r w:rsidRPr="005C4501">
        <w:rPr>
          <w:rFonts w:cs="Times New Roman"/>
        </w:rPr>
        <w:t>corresponding change in I/S or B/S)?</w:t>
      </w:r>
    </w:p>
    <w:p w14:paraId="2D90110E" w14:textId="4B9B4F55" w:rsidR="004E31D6" w:rsidRPr="005C4501" w:rsidRDefault="00926119" w:rsidP="00372605">
      <w:pPr>
        <w:pStyle w:val="ListParagraph"/>
        <w:numPr>
          <w:ilvl w:val="2"/>
          <w:numId w:val="1"/>
        </w:numPr>
        <w:jc w:val="both"/>
        <w:rPr>
          <w:rFonts w:eastAsiaTheme="minorEastAsia" w:cs="Times New Roman"/>
        </w:rPr>
      </w:pPr>
      <m:oMath>
        <m:r>
          <w:rPr>
            <w:rFonts w:ascii="Cambria Math" w:hAnsi="Cambria Math" w:cs="Times New Roman"/>
          </w:rPr>
          <m:t>Revision = α+ β SCF Error:SmallChg+β SCF Error :BigChg+Controls+ ε</m:t>
        </m:r>
      </m:oMath>
    </w:p>
    <w:p w14:paraId="6D3B1774" w14:textId="5559F4F5" w:rsidR="00A956A6" w:rsidRPr="005C4501" w:rsidRDefault="0029651C" w:rsidP="00A956A6">
      <w:pPr>
        <w:pStyle w:val="ListParagraph"/>
        <w:numPr>
          <w:ilvl w:val="2"/>
          <w:numId w:val="1"/>
        </w:numPr>
        <w:rPr>
          <w:rFonts w:cs="Times New Roman"/>
        </w:rPr>
      </w:pPr>
      <w:r w:rsidRPr="005C4501">
        <w:rPr>
          <w:rFonts w:cs="Times New Roman"/>
          <w:u w:val="single"/>
        </w:rPr>
        <w:lastRenderedPageBreak/>
        <w:t>Prediction</w:t>
      </w:r>
      <w:r w:rsidRPr="005C4501">
        <w:rPr>
          <w:rFonts w:cs="Times New Roman"/>
        </w:rPr>
        <w:t>: T</w:t>
      </w:r>
      <w:r w:rsidR="00A956A6" w:rsidRPr="005C4501">
        <w:rPr>
          <w:rFonts w:cs="Times New Roman"/>
        </w:rPr>
        <w:t xml:space="preserve">here is no difference between coefficients on </w:t>
      </w:r>
      <w:r w:rsidR="00A956A6" w:rsidRPr="005C4501">
        <w:rPr>
          <w:rFonts w:cs="Times New Roman"/>
          <w:i/>
          <w:iCs/>
        </w:rPr>
        <w:t>material/big SCF changes</w:t>
      </w:r>
      <w:r w:rsidR="00A956A6" w:rsidRPr="005C4501">
        <w:rPr>
          <w:rFonts w:cs="Times New Roman"/>
        </w:rPr>
        <w:t xml:space="preserve"> </w:t>
      </w:r>
      <w:r w:rsidRPr="005C4501">
        <w:rPr>
          <w:rFonts w:cs="Times New Roman"/>
        </w:rPr>
        <w:t xml:space="preserve">suggesting there is no difference in disclosure decision based on magnitude of cash flow </w:t>
      </w:r>
      <w:commentRangeStart w:id="3"/>
      <w:r w:rsidRPr="005C4501">
        <w:rPr>
          <w:rFonts w:cs="Times New Roman"/>
        </w:rPr>
        <w:t>change</w:t>
      </w:r>
      <w:commentRangeEnd w:id="3"/>
      <w:r w:rsidR="001C6324" w:rsidRPr="005C4501">
        <w:rPr>
          <w:rStyle w:val="CommentReference"/>
          <w:rFonts w:cs="Times New Roman"/>
          <w:sz w:val="22"/>
          <w:szCs w:val="22"/>
        </w:rPr>
        <w:commentReference w:id="3"/>
      </w:r>
      <w:r w:rsidRPr="005C4501">
        <w:rPr>
          <w:rFonts w:cs="Times New Roman"/>
        </w:rPr>
        <w:t>.</w:t>
      </w:r>
    </w:p>
    <w:p w14:paraId="75A90814" w14:textId="08D3197B" w:rsidR="004E31D6" w:rsidRPr="005C4501" w:rsidRDefault="004E31D6" w:rsidP="00372605">
      <w:pPr>
        <w:pStyle w:val="ListParagraph"/>
        <w:numPr>
          <w:ilvl w:val="0"/>
          <w:numId w:val="1"/>
        </w:numPr>
        <w:jc w:val="both"/>
        <w:rPr>
          <w:rFonts w:cs="Times New Roman"/>
          <w:b/>
          <w:bCs/>
        </w:rPr>
      </w:pPr>
      <w:r w:rsidRPr="005C4501">
        <w:rPr>
          <w:rFonts w:cs="Times New Roman"/>
          <w:b/>
          <w:bCs/>
        </w:rPr>
        <w:t>RQ2: Do SCF errors have negative consequences to financial statement users?</w:t>
      </w:r>
    </w:p>
    <w:p w14:paraId="5B16BBF7" w14:textId="18A38DEE" w:rsidR="0029651C" w:rsidRPr="005C4501" w:rsidRDefault="0029651C" w:rsidP="00372605">
      <w:pPr>
        <w:pStyle w:val="ListParagraph"/>
        <w:numPr>
          <w:ilvl w:val="1"/>
          <w:numId w:val="1"/>
        </w:numPr>
        <w:jc w:val="both"/>
        <w:rPr>
          <w:rFonts w:cs="Times New Roman"/>
        </w:rPr>
      </w:pPr>
      <w:r w:rsidRPr="005C4501">
        <w:rPr>
          <w:rFonts w:cs="Times New Roman"/>
        </w:rPr>
        <w:t xml:space="preserve">Table: </w:t>
      </w:r>
      <w:r w:rsidR="001D7E53" w:rsidRPr="005C4501">
        <w:rPr>
          <w:rFonts w:cs="Times New Roman"/>
        </w:rPr>
        <w:t xml:space="preserve">Would the adjusted </w:t>
      </w:r>
      <w:r w:rsidRPr="005C4501">
        <w:rPr>
          <w:rFonts w:cs="Times New Roman"/>
        </w:rPr>
        <w:t>cash flow</w:t>
      </w:r>
      <w:r w:rsidR="001D7E53" w:rsidRPr="005C4501">
        <w:rPr>
          <w:rFonts w:cs="Times New Roman"/>
        </w:rPr>
        <w:t xml:space="preserve"> measures </w:t>
      </w:r>
      <w:r w:rsidRPr="005C4501">
        <w:rPr>
          <w:rFonts w:cs="Times New Roman"/>
        </w:rPr>
        <w:t xml:space="preserve">from the </w:t>
      </w:r>
      <w:r w:rsidR="00926119" w:rsidRPr="005C4501">
        <w:rPr>
          <w:rFonts w:cs="Times New Roman"/>
        </w:rPr>
        <w:t>misstatement</w:t>
      </w:r>
      <w:r w:rsidRPr="005C4501">
        <w:rPr>
          <w:rFonts w:cs="Times New Roman"/>
        </w:rPr>
        <w:t xml:space="preserve"> </w:t>
      </w:r>
      <w:r w:rsidR="001D7E53" w:rsidRPr="005C4501">
        <w:rPr>
          <w:rFonts w:cs="Times New Roman"/>
        </w:rPr>
        <w:t>have led to better predictions of future cash flows or improvements to</w:t>
      </w:r>
      <w:r w:rsidRPr="005C4501">
        <w:rPr>
          <w:rFonts w:cs="Times New Roman"/>
        </w:rPr>
        <w:t xml:space="preserve"> bankruptcy prediction</w:t>
      </w:r>
      <w:r w:rsidR="001D7E53" w:rsidRPr="005C4501">
        <w:rPr>
          <w:rFonts w:cs="Times New Roman"/>
        </w:rPr>
        <w:t xml:space="preserve"> models</w:t>
      </w:r>
      <w:r w:rsidRPr="005C4501">
        <w:rPr>
          <w:rFonts w:cs="Times New Roman"/>
        </w:rPr>
        <w:t>?</w:t>
      </w:r>
      <w:r w:rsidR="005B366F" w:rsidRPr="005C4501">
        <w:rPr>
          <w:rFonts w:cs="Times New Roman"/>
        </w:rPr>
        <w:t xml:space="preserve"> (firm-year level from the period that was ultimately </w:t>
      </w:r>
      <w:r w:rsidR="00926119" w:rsidRPr="005C4501">
        <w:rPr>
          <w:rFonts w:cs="Times New Roman"/>
        </w:rPr>
        <w:t>misstated</w:t>
      </w:r>
      <w:r w:rsidR="005B366F" w:rsidRPr="005C4501">
        <w:rPr>
          <w:rFonts w:cs="Times New Roman"/>
        </w:rPr>
        <w:t>)</w:t>
      </w:r>
    </w:p>
    <w:p w14:paraId="0BD2D1FD" w14:textId="338DB334" w:rsidR="00CB391B" w:rsidRPr="005C4501" w:rsidRDefault="00000000" w:rsidP="00CB391B">
      <w:pPr>
        <w:pStyle w:val="ListParagraph"/>
        <w:numPr>
          <w:ilvl w:val="2"/>
          <w:numId w:val="1"/>
        </w:numPr>
        <w:jc w:val="both"/>
        <w:rPr>
          <w:rFonts w:eastAsiaTheme="minorEastAsia" w:cs="Times New Roman"/>
        </w:rPr>
      </w:pPr>
      <m:oMath>
        <m:sSub>
          <m:sSubPr>
            <m:ctrlPr>
              <w:rPr>
                <w:rFonts w:ascii="Cambria Math" w:hAnsi="Cambria Math" w:cs="Times New Roman"/>
                <w:i/>
              </w:rPr>
            </m:ctrlPr>
          </m:sSubPr>
          <m:e>
            <m:r>
              <w:rPr>
                <w:rFonts w:ascii="Cambria Math" w:hAnsi="Cambria Math" w:cs="Times New Roman"/>
              </w:rPr>
              <m:t>CF</m:t>
            </m:r>
          </m:e>
          <m:sub>
            <m:r>
              <w:rPr>
                <w:rFonts w:ascii="Cambria Math" w:hAnsi="Cambria Math" w:cs="Times New Roman"/>
              </w:rPr>
              <m:t>t+1</m:t>
            </m:r>
          </m:sub>
        </m:sSub>
        <m:r>
          <w:rPr>
            <w:rFonts w:ascii="Cambria Math" w:hAnsi="Cambria Math" w:cs="Times New Roman"/>
          </w:rPr>
          <m:t xml:space="preserve">= α+ β </m:t>
        </m:r>
        <m:sSubSup>
          <m:sSubSupPr>
            <m:ctrlPr>
              <w:rPr>
                <w:rFonts w:ascii="Cambria Math" w:hAnsi="Cambria Math" w:cs="Times New Roman"/>
                <w:i/>
              </w:rPr>
            </m:ctrlPr>
          </m:sSubSupPr>
          <m:e>
            <m:r>
              <w:rPr>
                <w:rFonts w:ascii="Cambria Math" w:hAnsi="Cambria Math" w:cs="Times New Roman"/>
              </w:rPr>
              <m:t>CFO</m:t>
            </m:r>
          </m:e>
          <m:sub>
            <m:r>
              <w:rPr>
                <w:rFonts w:ascii="Cambria Math" w:hAnsi="Cambria Math" w:cs="Times New Roman"/>
              </w:rPr>
              <m:t>t</m:t>
            </m:r>
          </m:sub>
          <m:sup>
            <m:r>
              <w:rPr>
                <w:rFonts w:ascii="Cambria Math" w:hAnsi="Cambria Math" w:cs="Times New Roman"/>
              </w:rPr>
              <m:t>Orig</m:t>
            </m:r>
          </m:sup>
        </m:sSubSup>
        <m:r>
          <w:rPr>
            <w:rFonts w:ascii="Cambria Math" w:hAnsi="Cambria Math" w:cs="Times New Roman"/>
          </w:rPr>
          <m:t xml:space="preserve">+β </m:t>
        </m:r>
        <m:sSubSup>
          <m:sSubSupPr>
            <m:ctrlPr>
              <w:rPr>
                <w:rFonts w:ascii="Cambria Math" w:hAnsi="Cambria Math" w:cs="Times New Roman"/>
                <w:i/>
              </w:rPr>
            </m:ctrlPr>
          </m:sSubSupPr>
          <m:e>
            <m:r>
              <w:rPr>
                <w:rFonts w:ascii="Cambria Math" w:hAnsi="Cambria Math" w:cs="Times New Roman"/>
              </w:rPr>
              <m:t>CFI</m:t>
            </m:r>
          </m:e>
          <m:sub>
            <m:r>
              <w:rPr>
                <w:rFonts w:ascii="Cambria Math" w:hAnsi="Cambria Math" w:cs="Times New Roman"/>
              </w:rPr>
              <m:t>t</m:t>
            </m:r>
          </m:sub>
          <m:sup>
            <m:r>
              <w:rPr>
                <w:rFonts w:ascii="Cambria Math" w:hAnsi="Cambria Math" w:cs="Times New Roman"/>
              </w:rPr>
              <m:t>Orig</m:t>
            </m:r>
          </m:sup>
        </m:sSubSup>
        <m:r>
          <w:rPr>
            <w:rFonts w:ascii="Cambria Math" w:hAnsi="Cambria Math" w:cs="Times New Roman"/>
          </w:rPr>
          <m:t xml:space="preserve">+ β </m:t>
        </m:r>
        <m:sSubSup>
          <m:sSubSupPr>
            <m:ctrlPr>
              <w:rPr>
                <w:rFonts w:ascii="Cambria Math" w:hAnsi="Cambria Math" w:cs="Times New Roman"/>
                <w:i/>
              </w:rPr>
            </m:ctrlPr>
          </m:sSubSupPr>
          <m:e>
            <m:r>
              <w:rPr>
                <w:rFonts w:ascii="Cambria Math" w:hAnsi="Cambria Math" w:cs="Times New Roman"/>
              </w:rPr>
              <m:t>CFF</m:t>
            </m:r>
          </m:e>
          <m:sub>
            <m:r>
              <w:rPr>
                <w:rFonts w:ascii="Cambria Math" w:hAnsi="Cambria Math" w:cs="Times New Roman"/>
              </w:rPr>
              <m:t>t</m:t>
            </m:r>
          </m:sub>
          <m:sup>
            <m:r>
              <w:rPr>
                <w:rFonts w:ascii="Cambria Math" w:hAnsi="Cambria Math" w:cs="Times New Roman"/>
              </w:rPr>
              <m:t>Orig</m:t>
            </m:r>
          </m:sup>
        </m:sSubSup>
        <m:r>
          <w:rPr>
            <w:rFonts w:ascii="Cambria Math" w:hAnsi="Cambria Math" w:cs="Times New Roman"/>
          </w:rPr>
          <m:t>+ ε</m:t>
        </m:r>
      </m:oMath>
    </w:p>
    <w:p w14:paraId="7805F323" w14:textId="5E41330C" w:rsidR="00A16789" w:rsidRPr="005C4501" w:rsidRDefault="00000000" w:rsidP="00A16789">
      <w:pPr>
        <w:pStyle w:val="ListParagraph"/>
        <w:numPr>
          <w:ilvl w:val="2"/>
          <w:numId w:val="1"/>
        </w:numPr>
        <w:jc w:val="both"/>
        <w:rPr>
          <w:rFonts w:eastAsiaTheme="minorEastAsia" w:cs="Times New Roman"/>
        </w:rPr>
      </w:pPr>
      <m:oMath>
        <m:sSub>
          <m:sSubPr>
            <m:ctrlPr>
              <w:rPr>
                <w:rFonts w:ascii="Cambria Math" w:hAnsi="Cambria Math" w:cs="Times New Roman"/>
                <w:i/>
              </w:rPr>
            </m:ctrlPr>
          </m:sSubPr>
          <m:e>
            <m:r>
              <w:rPr>
                <w:rFonts w:ascii="Cambria Math" w:hAnsi="Cambria Math" w:cs="Times New Roman"/>
              </w:rPr>
              <m:t>CF</m:t>
            </m:r>
          </m:e>
          <m:sub>
            <m:r>
              <w:rPr>
                <w:rFonts w:ascii="Cambria Math" w:hAnsi="Cambria Math" w:cs="Times New Roman"/>
              </w:rPr>
              <m:t>t+1</m:t>
            </m:r>
          </m:sub>
        </m:sSub>
        <m:r>
          <w:rPr>
            <w:rFonts w:ascii="Cambria Math" w:hAnsi="Cambria Math" w:cs="Times New Roman"/>
          </w:rPr>
          <m:t xml:space="preserve">= α+ β </m:t>
        </m:r>
        <m:sSubSup>
          <m:sSubSupPr>
            <m:ctrlPr>
              <w:rPr>
                <w:rFonts w:ascii="Cambria Math" w:hAnsi="Cambria Math" w:cs="Times New Roman"/>
                <w:i/>
              </w:rPr>
            </m:ctrlPr>
          </m:sSubSupPr>
          <m:e>
            <m:r>
              <w:rPr>
                <w:rFonts w:ascii="Cambria Math" w:hAnsi="Cambria Math" w:cs="Times New Roman"/>
              </w:rPr>
              <m:t>CFO</m:t>
            </m:r>
          </m:e>
          <m:sub>
            <m:r>
              <w:rPr>
                <w:rFonts w:ascii="Cambria Math" w:hAnsi="Cambria Math" w:cs="Times New Roman"/>
              </w:rPr>
              <m:t>t</m:t>
            </m:r>
          </m:sub>
          <m:sup>
            <m:r>
              <w:rPr>
                <w:rFonts w:ascii="Cambria Math" w:hAnsi="Cambria Math" w:cs="Times New Roman"/>
              </w:rPr>
              <m:t>Adj</m:t>
            </m:r>
          </m:sup>
        </m:sSubSup>
        <m:r>
          <w:rPr>
            <w:rFonts w:ascii="Cambria Math" w:hAnsi="Cambria Math" w:cs="Times New Roman"/>
          </w:rPr>
          <m:t xml:space="preserve">+β </m:t>
        </m:r>
        <m:sSubSup>
          <m:sSubSupPr>
            <m:ctrlPr>
              <w:rPr>
                <w:rFonts w:ascii="Cambria Math" w:hAnsi="Cambria Math" w:cs="Times New Roman"/>
                <w:i/>
              </w:rPr>
            </m:ctrlPr>
          </m:sSubSupPr>
          <m:e>
            <m:r>
              <w:rPr>
                <w:rFonts w:ascii="Cambria Math" w:hAnsi="Cambria Math" w:cs="Times New Roman"/>
              </w:rPr>
              <m:t>CFI</m:t>
            </m:r>
          </m:e>
          <m:sub>
            <m:r>
              <w:rPr>
                <w:rFonts w:ascii="Cambria Math" w:hAnsi="Cambria Math" w:cs="Times New Roman"/>
              </w:rPr>
              <m:t>t</m:t>
            </m:r>
          </m:sub>
          <m:sup>
            <m:r>
              <w:rPr>
                <w:rFonts w:ascii="Cambria Math" w:hAnsi="Cambria Math" w:cs="Times New Roman"/>
              </w:rPr>
              <m:t>Adj</m:t>
            </m:r>
          </m:sup>
        </m:sSubSup>
        <m:r>
          <w:rPr>
            <w:rFonts w:ascii="Cambria Math" w:hAnsi="Cambria Math" w:cs="Times New Roman"/>
          </w:rPr>
          <m:t xml:space="preserve">+ β </m:t>
        </m:r>
        <m:sSubSup>
          <m:sSubSupPr>
            <m:ctrlPr>
              <w:rPr>
                <w:rFonts w:ascii="Cambria Math" w:hAnsi="Cambria Math" w:cs="Times New Roman"/>
                <w:i/>
              </w:rPr>
            </m:ctrlPr>
          </m:sSubSupPr>
          <m:e>
            <m:r>
              <w:rPr>
                <w:rFonts w:ascii="Cambria Math" w:hAnsi="Cambria Math" w:cs="Times New Roman"/>
              </w:rPr>
              <m:t>CFF</m:t>
            </m:r>
          </m:e>
          <m:sub>
            <m:r>
              <w:rPr>
                <w:rFonts w:ascii="Cambria Math" w:hAnsi="Cambria Math" w:cs="Times New Roman"/>
              </w:rPr>
              <m:t>t</m:t>
            </m:r>
          </m:sub>
          <m:sup>
            <m:r>
              <w:rPr>
                <w:rFonts w:ascii="Cambria Math" w:hAnsi="Cambria Math" w:cs="Times New Roman"/>
              </w:rPr>
              <m:t>Adj</m:t>
            </m:r>
          </m:sup>
        </m:sSubSup>
        <m:r>
          <w:rPr>
            <w:rFonts w:ascii="Cambria Math" w:hAnsi="Cambria Math" w:cs="Times New Roman"/>
          </w:rPr>
          <m:t>+ ε</m:t>
        </m:r>
      </m:oMath>
    </w:p>
    <w:p w14:paraId="43B59B10" w14:textId="3DA3A902" w:rsidR="00A16789" w:rsidRPr="005C4501" w:rsidRDefault="00A16789" w:rsidP="00A16789">
      <w:pPr>
        <w:pStyle w:val="ListParagraph"/>
        <w:numPr>
          <w:ilvl w:val="2"/>
          <w:numId w:val="1"/>
        </w:numPr>
        <w:jc w:val="both"/>
        <w:rPr>
          <w:rFonts w:cs="Times New Roman"/>
        </w:rPr>
      </w:pPr>
      <w:r w:rsidRPr="005C4501">
        <w:rPr>
          <w:rFonts w:cs="Times New Roman"/>
          <w:u w:val="single"/>
        </w:rPr>
        <w:t>Prediction</w:t>
      </w:r>
      <w:r w:rsidRPr="005C4501">
        <w:rPr>
          <w:rFonts w:cs="Times New Roman"/>
        </w:rPr>
        <w:t xml:space="preserve">: </w:t>
      </w:r>
      <w:r w:rsidR="003D1EE8" w:rsidRPr="005C4501">
        <w:rPr>
          <w:rFonts w:cs="Times New Roman"/>
        </w:rPr>
        <w:t>Voung likelihood test that the</w:t>
      </w:r>
      <w:r w:rsidR="00CB391B" w:rsidRPr="005C4501">
        <w:rPr>
          <w:rFonts w:cs="Times New Roman"/>
        </w:rPr>
        <w:t xml:space="preserve"> Adj R</w:t>
      </w:r>
      <w:r w:rsidR="00CB391B" w:rsidRPr="005C4501">
        <w:rPr>
          <w:rFonts w:cs="Times New Roman"/>
          <w:vertAlign w:val="superscript"/>
        </w:rPr>
        <w:t>2</w:t>
      </w:r>
      <w:r w:rsidR="00CB391B" w:rsidRPr="005C4501">
        <w:rPr>
          <w:rFonts w:cs="Times New Roman"/>
        </w:rPr>
        <w:t xml:space="preserve"> (or AUC/F1 </w:t>
      </w:r>
      <w:r w:rsidR="00522A7A" w:rsidRPr="005C4501">
        <w:rPr>
          <w:rFonts w:cs="Times New Roman"/>
        </w:rPr>
        <w:t>S</w:t>
      </w:r>
      <w:r w:rsidR="00CB391B" w:rsidRPr="005C4501">
        <w:rPr>
          <w:rFonts w:cs="Times New Roman"/>
        </w:rPr>
        <w:t>core for binary outcomes</w:t>
      </w:r>
      <w:r w:rsidR="00522A7A" w:rsidRPr="005C4501">
        <w:rPr>
          <w:rFonts w:cs="Times New Roman"/>
        </w:rPr>
        <w:t xml:space="preserve"> like bankruptcy prediction</w:t>
      </w:r>
      <w:r w:rsidR="00CB391B" w:rsidRPr="005C4501">
        <w:rPr>
          <w:rFonts w:cs="Times New Roman"/>
        </w:rPr>
        <w:t xml:space="preserve">) </w:t>
      </w:r>
      <w:r w:rsidR="00812D47" w:rsidRPr="005C4501">
        <w:rPr>
          <w:rFonts w:cs="Times New Roman"/>
        </w:rPr>
        <w:t>from</w:t>
      </w:r>
      <w:r w:rsidR="00EC1509" w:rsidRPr="005C4501">
        <w:rPr>
          <w:rFonts w:cs="Times New Roman"/>
        </w:rPr>
        <w:t xml:space="preserve"> the model </w:t>
      </w:r>
      <w:r w:rsidR="00CB4798" w:rsidRPr="005C4501">
        <w:rPr>
          <w:rFonts w:cs="Times New Roman"/>
        </w:rPr>
        <w:t>using</w:t>
      </w:r>
      <w:r w:rsidR="00EC1509" w:rsidRPr="005C4501">
        <w:rPr>
          <w:rFonts w:cs="Times New Roman"/>
        </w:rPr>
        <w:t xml:space="preserve"> adjusted cash flow measures </w:t>
      </w:r>
      <w:r w:rsidR="00CB4798" w:rsidRPr="005C4501">
        <w:rPr>
          <w:rFonts w:cs="Times New Roman"/>
        </w:rPr>
        <w:t>is higher than</w:t>
      </w:r>
      <w:r w:rsidR="00812D47" w:rsidRPr="005C4501">
        <w:rPr>
          <w:rFonts w:cs="Times New Roman"/>
        </w:rPr>
        <w:t xml:space="preserve"> the</w:t>
      </w:r>
      <w:r w:rsidR="00CB4798" w:rsidRPr="005C4501">
        <w:rPr>
          <w:rFonts w:cs="Times New Roman"/>
        </w:rPr>
        <w:t xml:space="preserve"> Adj R</w:t>
      </w:r>
      <w:r w:rsidR="00CB4798" w:rsidRPr="005C4501">
        <w:rPr>
          <w:rFonts w:cs="Times New Roman"/>
          <w:vertAlign w:val="superscript"/>
        </w:rPr>
        <w:t>2</w:t>
      </w:r>
      <w:r w:rsidR="00CB4798" w:rsidRPr="005C4501">
        <w:rPr>
          <w:rFonts w:cs="Times New Roman"/>
        </w:rPr>
        <w:t xml:space="preserve"> from the model using</w:t>
      </w:r>
      <w:r w:rsidR="00EC1509" w:rsidRPr="005C4501">
        <w:rPr>
          <w:rFonts w:cs="Times New Roman"/>
        </w:rPr>
        <w:t xml:space="preserve"> the originally reported numbers</w:t>
      </w:r>
      <w:r w:rsidR="003D1EE8" w:rsidRPr="005C4501">
        <w:rPr>
          <w:rFonts w:cs="Times New Roman"/>
        </w:rPr>
        <w:t xml:space="preserve">. </w:t>
      </w:r>
      <w:r w:rsidRPr="005C4501">
        <w:rPr>
          <w:rFonts w:cs="Times New Roman"/>
        </w:rPr>
        <w:t xml:space="preserve"> </w:t>
      </w:r>
      <w:r w:rsidR="00812D47" w:rsidRPr="005C4501">
        <w:rPr>
          <w:rFonts w:cs="Times New Roman"/>
        </w:rPr>
        <w:t xml:space="preserve">First, use </w:t>
      </w:r>
      <w:r w:rsidR="003D1EE8" w:rsidRPr="005C4501">
        <w:rPr>
          <w:rFonts w:cs="Times New Roman"/>
        </w:rPr>
        <w:t xml:space="preserve">sample </w:t>
      </w:r>
      <w:r w:rsidR="00926119" w:rsidRPr="005C4501">
        <w:rPr>
          <w:rFonts w:cs="Times New Roman"/>
        </w:rPr>
        <w:t xml:space="preserve">misstatement </w:t>
      </w:r>
      <w:r w:rsidR="003D1EE8" w:rsidRPr="005C4501">
        <w:rPr>
          <w:rFonts w:cs="Times New Roman"/>
        </w:rPr>
        <w:t xml:space="preserve">periods </w:t>
      </w:r>
      <w:r w:rsidR="00812D47" w:rsidRPr="005C4501">
        <w:rPr>
          <w:rFonts w:cs="Times New Roman"/>
        </w:rPr>
        <w:t xml:space="preserve">from all types of </w:t>
      </w:r>
      <w:r w:rsidR="00926119" w:rsidRPr="005C4501">
        <w:rPr>
          <w:rFonts w:cs="Times New Roman"/>
        </w:rPr>
        <w:t xml:space="preserve">misstatement </w:t>
      </w:r>
      <w:r w:rsidR="003D1EE8" w:rsidRPr="005C4501">
        <w:rPr>
          <w:rFonts w:cs="Times New Roman"/>
        </w:rPr>
        <w:t xml:space="preserve">and </w:t>
      </w:r>
      <w:r w:rsidR="008C3280" w:rsidRPr="005C4501">
        <w:rPr>
          <w:rFonts w:cs="Times New Roman"/>
        </w:rPr>
        <w:t xml:space="preserve">then </w:t>
      </w:r>
      <w:r w:rsidR="003D1EE8" w:rsidRPr="005C4501">
        <w:rPr>
          <w:rFonts w:cs="Times New Roman"/>
        </w:rPr>
        <w:t xml:space="preserve">sub-samples based on </w:t>
      </w:r>
      <w:r w:rsidR="00926119" w:rsidRPr="005C4501">
        <w:rPr>
          <w:rFonts w:cs="Times New Roman"/>
        </w:rPr>
        <w:t>restatements</w:t>
      </w:r>
      <w:r w:rsidR="003D1EE8" w:rsidRPr="005C4501">
        <w:rPr>
          <w:rFonts w:cs="Times New Roman"/>
        </w:rPr>
        <w:t xml:space="preserve"> </w:t>
      </w:r>
      <w:r w:rsidR="00926119" w:rsidRPr="005C4501">
        <w:rPr>
          <w:rFonts w:cs="Times New Roman"/>
        </w:rPr>
        <w:t>and revision</w:t>
      </w:r>
      <w:r w:rsidR="003D1EE8" w:rsidRPr="005C4501">
        <w:rPr>
          <w:rFonts w:cs="Times New Roman"/>
        </w:rPr>
        <w:t xml:space="preserve"> classification.</w:t>
      </w:r>
      <w:r w:rsidR="008C3280" w:rsidRPr="005C4501">
        <w:rPr>
          <w:rFonts w:cs="Times New Roman"/>
        </w:rPr>
        <w:t xml:space="preserve"> </w:t>
      </w:r>
      <w:r w:rsidR="00293A4C" w:rsidRPr="005C4501">
        <w:rPr>
          <w:rFonts w:cs="Times New Roman"/>
        </w:rPr>
        <w:t xml:space="preserve">If there is meaningful improvement from </w:t>
      </w:r>
      <w:r w:rsidR="00926119" w:rsidRPr="005C4501">
        <w:rPr>
          <w:rFonts w:cs="Times New Roman"/>
        </w:rPr>
        <w:t>revision</w:t>
      </w:r>
      <w:r w:rsidR="00293A4C" w:rsidRPr="005C4501">
        <w:rPr>
          <w:rFonts w:cs="Times New Roman"/>
        </w:rPr>
        <w:t xml:space="preserve"> sample, it would suggest that </w:t>
      </w:r>
      <w:r w:rsidR="008C3280" w:rsidRPr="005C4501">
        <w:rPr>
          <w:rFonts w:cs="Times New Roman"/>
        </w:rPr>
        <w:t xml:space="preserve">SCF errors </w:t>
      </w:r>
      <w:r w:rsidR="00293A4C" w:rsidRPr="005C4501">
        <w:rPr>
          <w:rFonts w:cs="Times New Roman"/>
        </w:rPr>
        <w:t>that are viewed as immaterial</w:t>
      </w:r>
      <w:r w:rsidR="008C3280" w:rsidRPr="005C4501">
        <w:rPr>
          <w:rFonts w:cs="Times New Roman"/>
        </w:rPr>
        <w:t xml:space="preserve"> </w:t>
      </w:r>
      <w:r w:rsidR="00293A4C" w:rsidRPr="005C4501">
        <w:rPr>
          <w:rFonts w:cs="Times New Roman"/>
        </w:rPr>
        <w:t>could</w:t>
      </w:r>
      <w:r w:rsidR="008C3280" w:rsidRPr="005C4501">
        <w:rPr>
          <w:rFonts w:cs="Times New Roman"/>
        </w:rPr>
        <w:t xml:space="preserve"> have meaningfully changed investors</w:t>
      </w:r>
      <w:r w:rsidR="00293A4C" w:rsidRPr="005C4501">
        <w:rPr>
          <w:rFonts w:cs="Times New Roman"/>
        </w:rPr>
        <w:t>’</w:t>
      </w:r>
      <w:r w:rsidR="008C3280" w:rsidRPr="005C4501">
        <w:rPr>
          <w:rFonts w:cs="Times New Roman"/>
        </w:rPr>
        <w:t xml:space="preserve"> prediction</w:t>
      </w:r>
      <w:r w:rsidR="00293A4C" w:rsidRPr="005C4501">
        <w:rPr>
          <w:rFonts w:cs="Times New Roman"/>
        </w:rPr>
        <w:t>s</w:t>
      </w:r>
      <w:r w:rsidR="008C3280" w:rsidRPr="005C4501">
        <w:rPr>
          <w:rFonts w:cs="Times New Roman"/>
        </w:rPr>
        <w:t xml:space="preserve"> of future cash </w:t>
      </w:r>
      <w:commentRangeStart w:id="4"/>
      <w:r w:rsidR="008C3280" w:rsidRPr="005C4501">
        <w:rPr>
          <w:rFonts w:cs="Times New Roman"/>
        </w:rPr>
        <w:t>flows</w:t>
      </w:r>
      <w:commentRangeEnd w:id="4"/>
      <w:r w:rsidR="008B6C9B" w:rsidRPr="005C4501">
        <w:rPr>
          <w:rStyle w:val="CommentReference"/>
          <w:rFonts w:cs="Times New Roman"/>
          <w:sz w:val="22"/>
          <w:szCs w:val="22"/>
        </w:rPr>
        <w:commentReference w:id="4"/>
      </w:r>
      <w:r w:rsidR="008C3280" w:rsidRPr="005C4501">
        <w:rPr>
          <w:rFonts w:cs="Times New Roman"/>
        </w:rPr>
        <w:t>.</w:t>
      </w:r>
    </w:p>
    <w:p w14:paraId="581EEE25" w14:textId="506395B5" w:rsidR="00583B6F" w:rsidRPr="005C4501" w:rsidRDefault="00583B6F" w:rsidP="00372605">
      <w:pPr>
        <w:pStyle w:val="ListParagraph"/>
        <w:numPr>
          <w:ilvl w:val="1"/>
          <w:numId w:val="1"/>
        </w:numPr>
        <w:jc w:val="both"/>
        <w:rPr>
          <w:rFonts w:cs="Times New Roman"/>
        </w:rPr>
      </w:pPr>
      <w:r w:rsidRPr="005C4501">
        <w:rPr>
          <w:rFonts w:cs="Times New Roman"/>
        </w:rPr>
        <w:t>Table: Do periods with SCF errors lead to more analyst CFO forecast errors?</w:t>
      </w:r>
      <w:r w:rsidR="005B366F" w:rsidRPr="005C4501">
        <w:rPr>
          <w:rFonts w:cs="Times New Roman"/>
        </w:rPr>
        <w:t xml:space="preserve"> (firm-year observations with CFO forecast from IBES)</w:t>
      </w:r>
    </w:p>
    <w:p w14:paraId="2B834E4D" w14:textId="64239576" w:rsidR="00132C3F" w:rsidRPr="005C4501" w:rsidRDefault="00000000" w:rsidP="00A956A6">
      <w:pPr>
        <w:pStyle w:val="ListParagraph"/>
        <w:numPr>
          <w:ilvl w:val="2"/>
          <w:numId w:val="1"/>
        </w:numPr>
        <w:jc w:val="both"/>
        <w:rPr>
          <w:rFonts w:eastAsiaTheme="minorEastAsia" w:cs="Times New Roman"/>
        </w:rPr>
      </w:pPr>
      <m:oMath>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CFO Fcst Error</m:t>
                </m:r>
              </m:e>
            </m:d>
          </m:e>
          <m:sub>
            <m:r>
              <w:rPr>
                <w:rFonts w:ascii="Cambria Math" w:hAnsi="Cambria Math" w:cs="Times New Roman"/>
              </w:rPr>
              <m:t>t+1</m:t>
            </m:r>
          </m:sub>
        </m:sSub>
        <m:r>
          <w:rPr>
            <w:rFonts w:ascii="Cambria Math" w:hAnsi="Cambria Math" w:cs="Times New Roman"/>
          </w:rPr>
          <m:t xml:space="preserve">= α+ β </m:t>
        </m:r>
        <m:sSub>
          <m:sSubPr>
            <m:ctrlPr>
              <w:rPr>
                <w:rFonts w:ascii="Cambria Math" w:hAnsi="Cambria Math" w:cs="Times New Roman"/>
                <w:i/>
              </w:rPr>
            </m:ctrlPr>
          </m:sSubPr>
          <m:e>
            <m:r>
              <w:rPr>
                <w:rFonts w:ascii="Cambria Math" w:hAnsi="Cambria Math" w:cs="Times New Roman"/>
              </w:rPr>
              <m:t>|ΔCFO|</m:t>
            </m:r>
          </m:e>
          <m:sub>
            <m:r>
              <w:rPr>
                <w:rFonts w:ascii="Cambria Math" w:hAnsi="Cambria Math" w:cs="Times New Roman"/>
              </w:rPr>
              <m:t>t</m:t>
            </m:r>
          </m:sub>
        </m:sSub>
        <m:r>
          <w:rPr>
            <w:rFonts w:ascii="Cambria Math" w:hAnsi="Cambria Math" w:cs="Times New Roman"/>
          </w:rPr>
          <m:t>+ Controls+ ε</m:t>
        </m:r>
      </m:oMath>
    </w:p>
    <w:p w14:paraId="6DDF88D4" w14:textId="4B6C1923" w:rsidR="00AF6157" w:rsidRPr="005C4501" w:rsidRDefault="00AF6157" w:rsidP="00A956A6">
      <w:pPr>
        <w:pStyle w:val="ListParagraph"/>
        <w:numPr>
          <w:ilvl w:val="2"/>
          <w:numId w:val="1"/>
        </w:numPr>
        <w:jc w:val="both"/>
        <w:rPr>
          <w:rFonts w:eastAsiaTheme="minorEastAsia" w:cs="Times New Roman"/>
        </w:rPr>
      </w:pPr>
      <w:r w:rsidRPr="005C4501">
        <w:rPr>
          <w:rFonts w:eastAsiaTheme="minorEastAsia" w:cs="Times New Roman"/>
          <w:u w:val="single"/>
        </w:rPr>
        <w:t>Prediction</w:t>
      </w:r>
      <w:r w:rsidRPr="005C4501">
        <w:rPr>
          <w:rFonts w:eastAsiaTheme="minorEastAsia" w:cs="Times New Roman"/>
        </w:rPr>
        <w:t xml:space="preserve">: </w:t>
      </w:r>
      <w:r w:rsidR="003D1EE8" w:rsidRPr="005C4501">
        <w:rPr>
          <w:rFonts w:eastAsiaTheme="minorEastAsia" w:cs="Times New Roman"/>
        </w:rPr>
        <w:t xml:space="preserve">Among firms with a </w:t>
      </w:r>
      <w:r w:rsidR="008C3280" w:rsidRPr="005C4501">
        <w:rPr>
          <w:rFonts w:eastAsiaTheme="minorEastAsia" w:cs="Times New Roman"/>
        </w:rPr>
        <w:t>CFO</w:t>
      </w:r>
      <w:r w:rsidR="003D1EE8" w:rsidRPr="005C4501">
        <w:rPr>
          <w:rFonts w:eastAsiaTheme="minorEastAsia" w:cs="Times New Roman"/>
        </w:rPr>
        <w:t xml:space="preserve"> forecast, periods where the most recently reported </w:t>
      </w:r>
      <w:r w:rsidR="008C3280" w:rsidRPr="005C4501">
        <w:rPr>
          <w:rFonts w:eastAsiaTheme="minorEastAsia" w:cs="Times New Roman"/>
        </w:rPr>
        <w:t xml:space="preserve">CFO </w:t>
      </w:r>
      <w:r w:rsidR="003D1EE8" w:rsidRPr="005C4501">
        <w:rPr>
          <w:rFonts w:eastAsiaTheme="minorEastAsia" w:cs="Times New Roman"/>
        </w:rPr>
        <w:t xml:space="preserve">actuals </w:t>
      </w:r>
      <w:r w:rsidR="008C3280" w:rsidRPr="005C4501">
        <w:rPr>
          <w:rFonts w:eastAsiaTheme="minorEastAsia" w:cs="Times New Roman"/>
        </w:rPr>
        <w:t xml:space="preserve">were subsequently </w:t>
      </w:r>
      <w:r w:rsidR="00926119" w:rsidRPr="005C4501">
        <w:rPr>
          <w:rFonts w:eastAsiaTheme="minorEastAsia" w:cs="Times New Roman"/>
        </w:rPr>
        <w:t>misstated</w:t>
      </w:r>
      <w:r w:rsidR="008C3280" w:rsidRPr="005C4501">
        <w:rPr>
          <w:rFonts w:eastAsiaTheme="minorEastAsia" w:cs="Times New Roman"/>
        </w:rPr>
        <w:t xml:space="preserve"> </w:t>
      </w:r>
      <w:r w:rsidR="003D1EE8" w:rsidRPr="005C4501">
        <w:rPr>
          <w:rFonts w:eastAsiaTheme="minorEastAsia" w:cs="Times New Roman"/>
        </w:rPr>
        <w:t xml:space="preserve">are positively associated </w:t>
      </w:r>
      <w:r w:rsidRPr="005C4501">
        <w:rPr>
          <w:rFonts w:eastAsiaTheme="minorEastAsia" w:cs="Times New Roman"/>
        </w:rPr>
        <w:t>with analysts’ CFO forecast errors</w:t>
      </w:r>
      <w:r w:rsidR="009C6CBA" w:rsidRPr="005C4501">
        <w:rPr>
          <w:rFonts w:eastAsiaTheme="minorEastAsia" w:cs="Times New Roman"/>
        </w:rPr>
        <w:t>.</w:t>
      </w:r>
    </w:p>
    <w:p w14:paraId="407B5C9D" w14:textId="712A32EF" w:rsidR="009C6CBA" w:rsidRPr="005C4501" w:rsidRDefault="00000000" w:rsidP="009C6CBA">
      <w:pPr>
        <w:pStyle w:val="ListParagraph"/>
        <w:numPr>
          <w:ilvl w:val="2"/>
          <w:numId w:val="1"/>
        </w:numPr>
        <w:jc w:val="both"/>
        <w:rPr>
          <w:rFonts w:eastAsiaTheme="minorEastAsia" w:cs="Times New Roman"/>
        </w:rPr>
      </w:pPr>
      <m:oMath>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CFO Fcst Error</m:t>
                </m:r>
              </m:e>
            </m:d>
          </m:e>
          <m:sub>
            <m:r>
              <w:rPr>
                <w:rFonts w:ascii="Cambria Math" w:hAnsi="Cambria Math" w:cs="Times New Roman"/>
              </w:rPr>
              <m:t>t+1</m:t>
            </m:r>
          </m:sub>
        </m:sSub>
        <m:r>
          <w:rPr>
            <w:rFonts w:ascii="Cambria Math" w:hAnsi="Cambria Math" w:cs="Times New Roman"/>
          </w:rPr>
          <m:t xml:space="preserve">= α+ β </m:t>
        </m:r>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ΔCFO</m:t>
                </m:r>
              </m:e>
            </m:d>
            <m:r>
              <w:rPr>
                <w:rFonts w:ascii="Cambria Math" w:hAnsi="Cambria Math" w:cs="Times New Roman"/>
              </w:rPr>
              <m:t xml:space="preserve"> x BigR</m:t>
            </m:r>
          </m:e>
          <m:sub>
            <m:r>
              <w:rPr>
                <w:rFonts w:ascii="Cambria Math" w:hAnsi="Cambria Math" w:cs="Times New Roman"/>
              </w:rPr>
              <m:t>t</m:t>
            </m:r>
          </m:sub>
        </m:sSub>
        <m:r>
          <w:rPr>
            <w:rFonts w:ascii="Cambria Math" w:hAnsi="Cambria Math" w:cs="Times New Roman"/>
          </w:rPr>
          <m:t xml:space="preserve">+  β </m:t>
        </m:r>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ΔCFO</m:t>
                </m:r>
              </m:e>
            </m:d>
            <m:r>
              <w:rPr>
                <w:rFonts w:ascii="Cambria Math" w:hAnsi="Cambria Math" w:cs="Times New Roman"/>
              </w:rPr>
              <m:t xml:space="preserve"> x little r</m:t>
            </m:r>
          </m:e>
          <m:sub>
            <m:r>
              <w:rPr>
                <w:rFonts w:ascii="Cambria Math" w:hAnsi="Cambria Math" w:cs="Times New Roman"/>
              </w:rPr>
              <m:t>t</m:t>
            </m:r>
          </m:sub>
        </m:sSub>
        <m:r>
          <w:rPr>
            <w:rFonts w:ascii="Cambria Math" w:hAnsi="Cambria Math" w:cs="Times New Roman"/>
          </w:rPr>
          <m:t>+ Controls+ ε</m:t>
        </m:r>
      </m:oMath>
    </w:p>
    <w:p w14:paraId="169DD830" w14:textId="02D170A7" w:rsidR="009C6CBA" w:rsidRPr="005C4501" w:rsidRDefault="009C6CBA" w:rsidP="00A956A6">
      <w:pPr>
        <w:pStyle w:val="ListParagraph"/>
        <w:numPr>
          <w:ilvl w:val="2"/>
          <w:numId w:val="1"/>
        </w:numPr>
        <w:jc w:val="both"/>
        <w:rPr>
          <w:rFonts w:eastAsiaTheme="minorEastAsia" w:cs="Times New Roman"/>
        </w:rPr>
      </w:pPr>
      <w:r w:rsidRPr="005C4501">
        <w:rPr>
          <w:rFonts w:eastAsiaTheme="minorEastAsia" w:cs="Times New Roman"/>
          <w:u w:val="single"/>
        </w:rPr>
        <w:t>Prediction</w:t>
      </w:r>
      <w:r w:rsidRPr="005C4501">
        <w:rPr>
          <w:rFonts w:eastAsiaTheme="minorEastAsia" w:cs="Times New Roman"/>
        </w:rPr>
        <w:t xml:space="preserve">: If materiality judgements are not correctly applied for cash flow </w:t>
      </w:r>
      <w:r w:rsidR="00926119" w:rsidRPr="005C4501">
        <w:rPr>
          <w:rFonts w:eastAsiaTheme="minorEastAsia" w:cs="Times New Roman"/>
        </w:rPr>
        <w:t>misstatements</w:t>
      </w:r>
      <w:r w:rsidRPr="005C4501">
        <w:rPr>
          <w:rFonts w:eastAsiaTheme="minorEastAsia" w:cs="Times New Roman"/>
        </w:rPr>
        <w:t xml:space="preserve">, </w:t>
      </w:r>
      <w:r w:rsidR="001C0C74" w:rsidRPr="005C4501">
        <w:rPr>
          <w:rFonts w:eastAsiaTheme="minorEastAsia" w:cs="Times New Roman"/>
        </w:rPr>
        <w:t xml:space="preserve">both types of </w:t>
      </w:r>
      <w:r w:rsidR="00926119" w:rsidRPr="005C4501">
        <w:rPr>
          <w:rFonts w:eastAsiaTheme="minorEastAsia" w:cs="Times New Roman"/>
        </w:rPr>
        <w:t xml:space="preserve">misstatements </w:t>
      </w:r>
      <w:r w:rsidR="001C0C74" w:rsidRPr="005C4501">
        <w:rPr>
          <w:rFonts w:eastAsiaTheme="minorEastAsia" w:cs="Times New Roman"/>
        </w:rPr>
        <w:t>should be positively associated with forecast errors.</w:t>
      </w:r>
    </w:p>
    <w:p w14:paraId="7CA29F92" w14:textId="781FBAD7" w:rsidR="007D68D0" w:rsidRPr="005C4501" w:rsidRDefault="007D68D0" w:rsidP="005B366F">
      <w:pPr>
        <w:pStyle w:val="ListParagraph"/>
        <w:numPr>
          <w:ilvl w:val="1"/>
          <w:numId w:val="1"/>
        </w:numPr>
        <w:jc w:val="both"/>
        <w:rPr>
          <w:rFonts w:cs="Times New Roman"/>
        </w:rPr>
      </w:pPr>
      <w:r w:rsidRPr="005C4501">
        <w:rPr>
          <w:rFonts w:cs="Times New Roman"/>
        </w:rPr>
        <w:t xml:space="preserve">Table: </w:t>
      </w:r>
      <w:r w:rsidR="00120DC9" w:rsidRPr="005C4501">
        <w:rPr>
          <w:rFonts w:cs="Times New Roman"/>
        </w:rPr>
        <w:t>Are returns predictably higher (lower) for periods following a filing with SCF error where CFO was originally understated (overstated)?</w:t>
      </w:r>
      <w:r w:rsidR="005B366F" w:rsidRPr="005C4501">
        <w:rPr>
          <w:rFonts w:cs="Times New Roman"/>
        </w:rPr>
        <w:t xml:space="preserve"> (firm-year level from the period that was ultimately restated)</w:t>
      </w:r>
    </w:p>
    <w:p w14:paraId="4BEF609B" w14:textId="798D3B85" w:rsidR="00A16789" w:rsidRPr="005C4501" w:rsidRDefault="00000000" w:rsidP="00A16789">
      <w:pPr>
        <w:pStyle w:val="ListParagraph"/>
        <w:numPr>
          <w:ilvl w:val="2"/>
          <w:numId w:val="1"/>
        </w:numPr>
        <w:jc w:val="both"/>
        <w:rPr>
          <w:rFonts w:eastAsiaTheme="minorEastAsia" w:cs="Times New Roman"/>
        </w:rPr>
      </w:pPr>
      <m:oMath>
        <m:sSub>
          <m:sSubPr>
            <m:ctrlPr>
              <w:rPr>
                <w:rFonts w:ascii="Cambria Math" w:hAnsi="Cambria Math" w:cs="Times New Roman"/>
                <w:i/>
              </w:rPr>
            </m:ctrlPr>
          </m:sSubPr>
          <m:e>
            <m:r>
              <w:rPr>
                <w:rFonts w:ascii="Cambria Math" w:hAnsi="Cambria Math" w:cs="Times New Roman"/>
              </w:rPr>
              <m:t>Return</m:t>
            </m:r>
          </m:e>
          <m:sub>
            <m:r>
              <w:rPr>
                <w:rFonts w:ascii="Cambria Math" w:hAnsi="Cambria Math" w:cs="Times New Roman"/>
              </w:rPr>
              <m:t>t+k</m:t>
            </m:r>
          </m:sub>
        </m:sSub>
        <m:r>
          <w:rPr>
            <w:rFonts w:ascii="Cambria Math" w:hAnsi="Cambria Math" w:cs="Times New Roman"/>
          </w:rPr>
          <m:t xml:space="preserve">= α+ β </m:t>
        </m:r>
        <m:sSub>
          <m:sSubPr>
            <m:ctrlPr>
              <w:rPr>
                <w:rFonts w:ascii="Cambria Math" w:hAnsi="Cambria Math" w:cs="Times New Roman"/>
                <w:i/>
              </w:rPr>
            </m:ctrlPr>
          </m:sSubPr>
          <m:e>
            <m:r>
              <w:rPr>
                <w:rFonts w:ascii="Cambria Math" w:hAnsi="Cambria Math" w:cs="Times New Roman"/>
              </w:rPr>
              <m:t>ΔCFO</m:t>
            </m:r>
          </m:e>
          <m:sub>
            <m:r>
              <w:rPr>
                <w:rFonts w:ascii="Cambria Math" w:hAnsi="Cambria Math" w:cs="Times New Roman"/>
              </w:rPr>
              <m:t>t</m:t>
            </m:r>
          </m:sub>
        </m:sSub>
        <m:r>
          <w:rPr>
            <w:rFonts w:ascii="Cambria Math" w:hAnsi="Cambria Math" w:cs="Times New Roman"/>
          </w:rPr>
          <m:t>+ MKT+ SMB+HML+RMW+CMA+ ε</m:t>
        </m:r>
      </m:oMath>
    </w:p>
    <w:p w14:paraId="06973227" w14:textId="0E12A8CB" w:rsidR="00936CCC" w:rsidRPr="005C4501" w:rsidRDefault="00AA6BB6" w:rsidP="00A16789">
      <w:pPr>
        <w:pStyle w:val="ListParagraph"/>
        <w:numPr>
          <w:ilvl w:val="2"/>
          <w:numId w:val="1"/>
        </w:numPr>
        <w:jc w:val="both"/>
        <w:rPr>
          <w:rFonts w:eastAsiaTheme="minorEastAsia" w:cs="Times New Roman"/>
        </w:rPr>
      </w:pPr>
      <w:r w:rsidRPr="005C4501">
        <w:rPr>
          <w:rFonts w:eastAsiaTheme="minorEastAsia" w:cs="Times New Roman"/>
          <w:u w:val="single"/>
        </w:rPr>
        <w:t>Prediction</w:t>
      </w:r>
      <w:r w:rsidRPr="005C4501">
        <w:rPr>
          <w:rFonts w:eastAsiaTheme="minorEastAsia" w:cs="Times New Roman"/>
        </w:rPr>
        <w:t xml:space="preserve">: Positive coefficient if change in CFO from error predicts </w:t>
      </w:r>
      <w:r w:rsidR="00936CCC" w:rsidRPr="005C4501">
        <w:rPr>
          <w:rFonts w:eastAsiaTheme="minorEastAsia" w:cs="Times New Roman"/>
        </w:rPr>
        <w:t>mispricing</w:t>
      </w:r>
      <w:r w:rsidR="000D50F4" w:rsidRPr="005C4501">
        <w:rPr>
          <w:rFonts w:eastAsiaTheme="minorEastAsia" w:cs="Times New Roman"/>
        </w:rPr>
        <w:t xml:space="preserve"> through </w:t>
      </w:r>
      <w:r w:rsidR="00435A56" w:rsidRPr="005C4501">
        <w:rPr>
          <w:rFonts w:eastAsiaTheme="minorEastAsia" w:cs="Times New Roman"/>
          <w:i/>
          <w:iCs/>
        </w:rPr>
        <w:t>k</w:t>
      </w:r>
      <w:r w:rsidR="00435A56" w:rsidRPr="005C4501">
        <w:rPr>
          <w:rFonts w:eastAsiaTheme="minorEastAsia" w:cs="Times New Roman"/>
        </w:rPr>
        <w:t xml:space="preserve"> </w:t>
      </w:r>
      <w:r w:rsidR="000D50F4" w:rsidRPr="005C4501">
        <w:rPr>
          <w:rFonts w:eastAsiaTheme="minorEastAsia" w:cs="Times New Roman"/>
        </w:rPr>
        <w:t>months financial statement filed</w:t>
      </w:r>
      <w:r w:rsidR="00435A56" w:rsidRPr="005C4501">
        <w:rPr>
          <w:rFonts w:eastAsiaTheme="minorEastAsia" w:cs="Times New Roman"/>
        </w:rPr>
        <w:t xml:space="preserve"> in month </w:t>
      </w:r>
      <w:r w:rsidR="00435A56" w:rsidRPr="005C4501">
        <w:rPr>
          <w:rFonts w:eastAsiaTheme="minorEastAsia" w:cs="Times New Roman"/>
          <w:i/>
          <w:iCs/>
        </w:rPr>
        <w:t>t</w:t>
      </w:r>
      <w:r w:rsidR="00936CCC" w:rsidRPr="005C4501">
        <w:rPr>
          <w:rFonts w:eastAsiaTheme="minorEastAsia" w:cs="Times New Roman"/>
        </w:rPr>
        <w:t xml:space="preserve">. If positive effect still exists for SCF errors </w:t>
      </w:r>
      <w:r w:rsidR="00BF0825" w:rsidRPr="005C4501">
        <w:rPr>
          <w:rFonts w:eastAsiaTheme="minorEastAsia" w:cs="Times New Roman"/>
        </w:rPr>
        <w:t>that are subsequently revealed via a</w:t>
      </w:r>
      <w:r w:rsidR="00936CCC" w:rsidRPr="005C4501">
        <w:rPr>
          <w:rFonts w:eastAsiaTheme="minorEastAsia" w:cs="Times New Roman"/>
        </w:rPr>
        <w:t xml:space="preserve"> </w:t>
      </w:r>
      <w:r w:rsidR="0001313D" w:rsidRPr="005C4501">
        <w:rPr>
          <w:rFonts w:eastAsiaTheme="minorEastAsia" w:cs="Times New Roman"/>
        </w:rPr>
        <w:t xml:space="preserve">revision </w:t>
      </w:r>
      <w:r w:rsidR="00BF0825" w:rsidRPr="005C4501">
        <w:rPr>
          <w:rFonts w:eastAsiaTheme="minorEastAsia" w:cs="Times New Roman"/>
        </w:rPr>
        <w:t>it</w:t>
      </w:r>
      <w:r w:rsidR="00936CCC" w:rsidRPr="005C4501">
        <w:rPr>
          <w:rFonts w:eastAsiaTheme="minorEastAsia" w:cs="Times New Roman"/>
        </w:rPr>
        <w:t xml:space="preserve"> would be more evidence that classification errors considered immaterial have material </w:t>
      </w:r>
      <w:commentRangeStart w:id="5"/>
      <w:r w:rsidR="00936CCC" w:rsidRPr="005C4501">
        <w:rPr>
          <w:rFonts w:eastAsiaTheme="minorEastAsia" w:cs="Times New Roman"/>
        </w:rPr>
        <w:t>consequences</w:t>
      </w:r>
      <w:commentRangeEnd w:id="5"/>
      <w:r w:rsidR="00E07B0C" w:rsidRPr="005C4501">
        <w:rPr>
          <w:rStyle w:val="CommentReference"/>
          <w:rFonts w:eastAsiaTheme="minorEastAsia" w:cs="Times New Roman"/>
          <w:sz w:val="22"/>
          <w:szCs w:val="22"/>
        </w:rPr>
        <w:commentReference w:id="5"/>
      </w:r>
      <w:r w:rsidR="00936CCC" w:rsidRPr="005C4501">
        <w:rPr>
          <w:rFonts w:eastAsiaTheme="minorEastAsia" w:cs="Times New Roman"/>
        </w:rPr>
        <w:t>.</w:t>
      </w:r>
    </w:p>
    <w:p w14:paraId="721C7EBF" w14:textId="0EDCDEC9" w:rsidR="004F3B3C" w:rsidRPr="005C4501" w:rsidRDefault="004F3B3C" w:rsidP="004F3B3C">
      <w:pPr>
        <w:pStyle w:val="ListParagraph"/>
        <w:numPr>
          <w:ilvl w:val="0"/>
          <w:numId w:val="1"/>
        </w:numPr>
        <w:jc w:val="both"/>
        <w:rPr>
          <w:rFonts w:cs="Times New Roman"/>
        </w:rPr>
      </w:pPr>
      <w:r w:rsidRPr="005C4501">
        <w:rPr>
          <w:rFonts w:cs="Times New Roman"/>
        </w:rPr>
        <w:t>Cross-sections</w:t>
      </w:r>
    </w:p>
    <w:p w14:paraId="333B8586" w14:textId="4F1DB4C5" w:rsidR="004F3B3C" w:rsidRPr="005C4501" w:rsidRDefault="004F3B3C" w:rsidP="004F3B3C">
      <w:pPr>
        <w:pStyle w:val="ListParagraph"/>
        <w:numPr>
          <w:ilvl w:val="1"/>
          <w:numId w:val="1"/>
        </w:numPr>
        <w:jc w:val="both"/>
        <w:rPr>
          <w:rFonts w:cs="Times New Roman"/>
        </w:rPr>
      </w:pPr>
      <w:r w:rsidRPr="005C4501">
        <w:rPr>
          <w:rFonts w:cs="Times New Roman"/>
        </w:rPr>
        <w:t>Types of firms (highly levered firms; close to covenant thresholds; those with CFO forecast)</w:t>
      </w:r>
    </w:p>
    <w:p w14:paraId="1D6C4BF6" w14:textId="6F61E9FC" w:rsidR="004F3B3C" w:rsidRPr="005C4501" w:rsidRDefault="004F3B3C" w:rsidP="004F3B3C">
      <w:pPr>
        <w:pStyle w:val="ListParagraph"/>
        <w:numPr>
          <w:ilvl w:val="1"/>
          <w:numId w:val="1"/>
        </w:numPr>
        <w:jc w:val="both"/>
        <w:rPr>
          <w:rFonts w:cs="Times New Roman"/>
        </w:rPr>
      </w:pPr>
      <w:r w:rsidRPr="005C4501">
        <w:rPr>
          <w:rFonts w:cs="Times New Roman"/>
        </w:rPr>
        <w:t>Auditor busyness</w:t>
      </w:r>
      <w:r w:rsidR="00A16789" w:rsidRPr="005C4501">
        <w:rPr>
          <w:rFonts w:cs="Times New Roman"/>
        </w:rPr>
        <w:t>; Auditor independence</w:t>
      </w:r>
    </w:p>
    <w:p w14:paraId="1EA72FB4" w14:textId="3FA877CE" w:rsidR="006C0A2C" w:rsidRPr="005C4501" w:rsidRDefault="006C0A2C" w:rsidP="004F3B3C">
      <w:pPr>
        <w:pStyle w:val="ListParagraph"/>
        <w:numPr>
          <w:ilvl w:val="1"/>
          <w:numId w:val="1"/>
        </w:numPr>
        <w:jc w:val="both"/>
        <w:rPr>
          <w:rFonts w:cs="Times New Roman"/>
        </w:rPr>
      </w:pPr>
      <w:r w:rsidRPr="005C4501">
        <w:rPr>
          <w:rFonts w:cs="Times New Roman"/>
        </w:rPr>
        <w:t>SCF complexity (number of line items within SCF)</w:t>
      </w:r>
    </w:p>
    <w:p w14:paraId="20EA6652" w14:textId="56E0F251" w:rsidR="00120DC9" w:rsidRPr="005C4501" w:rsidRDefault="00120DC9" w:rsidP="00120DC9">
      <w:pPr>
        <w:pStyle w:val="ListParagraph"/>
        <w:numPr>
          <w:ilvl w:val="0"/>
          <w:numId w:val="1"/>
        </w:numPr>
        <w:jc w:val="both"/>
        <w:rPr>
          <w:rFonts w:cs="Times New Roman"/>
        </w:rPr>
      </w:pPr>
      <w:r w:rsidRPr="005C4501">
        <w:rPr>
          <w:rFonts w:cs="Times New Roman"/>
        </w:rPr>
        <w:t>Other potential consequences</w:t>
      </w:r>
    </w:p>
    <w:p w14:paraId="4B11DDE3" w14:textId="077A335F" w:rsidR="00120DC9" w:rsidRPr="005C4501" w:rsidRDefault="00120DC9" w:rsidP="00120DC9">
      <w:pPr>
        <w:pStyle w:val="ListParagraph"/>
        <w:numPr>
          <w:ilvl w:val="1"/>
          <w:numId w:val="1"/>
        </w:numPr>
        <w:jc w:val="both"/>
        <w:rPr>
          <w:rFonts w:cs="Times New Roman"/>
        </w:rPr>
      </w:pPr>
      <w:r w:rsidRPr="005C4501">
        <w:rPr>
          <w:rFonts w:cs="Times New Roman"/>
        </w:rPr>
        <w:t xml:space="preserve">Table: Do loan spreads change following revelation of SCF error? </w:t>
      </w:r>
    </w:p>
    <w:p w14:paraId="173C9784" w14:textId="6D2929B6" w:rsidR="00120DC9" w:rsidRPr="005C4501" w:rsidRDefault="00120DC9" w:rsidP="00120DC9">
      <w:pPr>
        <w:pStyle w:val="ListParagraph"/>
        <w:ind w:left="2160"/>
        <w:jc w:val="both"/>
        <w:rPr>
          <w:rFonts w:cs="Times New Roman"/>
        </w:rPr>
      </w:pPr>
    </w:p>
    <w:p w14:paraId="52135788" w14:textId="77777777" w:rsidR="00120DC9" w:rsidRPr="005C4501" w:rsidRDefault="00120DC9" w:rsidP="00120DC9">
      <w:pPr>
        <w:pStyle w:val="ListParagraph"/>
        <w:ind w:left="1440"/>
        <w:jc w:val="both"/>
        <w:rPr>
          <w:rFonts w:cs="Times New Roman"/>
        </w:rPr>
      </w:pPr>
    </w:p>
    <w:p w14:paraId="4907D660" w14:textId="043FD98D" w:rsidR="00073CF2" w:rsidRPr="005C4501" w:rsidRDefault="0012578D" w:rsidP="00A82D5C">
      <w:pPr>
        <w:pStyle w:val="Heading3"/>
        <w:rPr>
          <w:rFonts w:ascii="Times New Roman" w:hAnsi="Times New Roman" w:cs="Times New Roman"/>
          <w:b/>
          <w:bCs/>
          <w:color w:val="auto"/>
        </w:rPr>
      </w:pPr>
      <w:r w:rsidRPr="005C4501">
        <w:rPr>
          <w:rFonts w:ascii="Times New Roman" w:hAnsi="Times New Roman" w:cs="Times New Roman"/>
          <w:b/>
          <w:bCs/>
          <w:color w:val="auto"/>
        </w:rPr>
        <w:lastRenderedPageBreak/>
        <w:t>Results</w:t>
      </w:r>
    </w:p>
    <w:p w14:paraId="16C63AED" w14:textId="6098AE48" w:rsidR="005C4501" w:rsidRPr="005C4501" w:rsidRDefault="005C4501" w:rsidP="005C4501">
      <w:pPr>
        <w:pStyle w:val="Heading4"/>
        <w:rPr>
          <w:rFonts w:ascii="Times New Roman" w:hAnsi="Times New Roman" w:cs="Times New Roman"/>
          <w:color w:val="auto"/>
        </w:rPr>
      </w:pPr>
      <w:r w:rsidRPr="005C4501">
        <w:rPr>
          <w:rFonts w:ascii="Times New Roman" w:hAnsi="Times New Roman" w:cs="Times New Roman"/>
          <w:color w:val="auto"/>
        </w:rPr>
        <w:t>Figure 1: Percentage of misstatements with cash flow statement error by year</w:t>
      </w:r>
    </w:p>
    <w:p w14:paraId="797AA0A7" w14:textId="77777777" w:rsidR="005C4501" w:rsidRPr="005C4501" w:rsidRDefault="005C4501" w:rsidP="005C4501">
      <w:pPr>
        <w:rPr>
          <w:rFonts w:cs="Times New Roman"/>
        </w:rPr>
      </w:pPr>
    </w:p>
    <w:p w14:paraId="56E79918" w14:textId="26672850" w:rsidR="005C4501" w:rsidRPr="005C4501" w:rsidRDefault="005C4501" w:rsidP="005C4501">
      <w:pPr>
        <w:rPr>
          <w:rFonts w:cs="Times New Roman"/>
        </w:rPr>
      </w:pPr>
      <w:r w:rsidRPr="005C4501">
        <w:rPr>
          <w:rFonts w:cs="Times New Roman"/>
          <w:noProof/>
        </w:rPr>
        <w:drawing>
          <wp:inline distT="0" distB="0" distL="0" distR="0" wp14:anchorId="5E8253F6" wp14:editId="776F4C84">
            <wp:extent cx="5943600" cy="3956685"/>
            <wp:effectExtent l="0" t="0" r="0" b="5715"/>
            <wp:docPr id="1632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611" name=""/>
                    <pic:cNvPicPr/>
                  </pic:nvPicPr>
                  <pic:blipFill>
                    <a:blip r:embed="rId9"/>
                    <a:stretch>
                      <a:fillRect/>
                    </a:stretch>
                  </pic:blipFill>
                  <pic:spPr>
                    <a:xfrm>
                      <a:off x="0" y="0"/>
                      <a:ext cx="5943600" cy="3956685"/>
                    </a:xfrm>
                    <a:prstGeom prst="rect">
                      <a:avLst/>
                    </a:prstGeom>
                  </pic:spPr>
                </pic:pic>
              </a:graphicData>
            </a:graphic>
          </wp:inline>
        </w:drawing>
      </w:r>
    </w:p>
    <w:p w14:paraId="69D205A3" w14:textId="77777777" w:rsidR="007101E6" w:rsidRPr="005C4501" w:rsidRDefault="007101E6" w:rsidP="00A82D5C">
      <w:pPr>
        <w:pStyle w:val="Heading4"/>
        <w:rPr>
          <w:rFonts w:ascii="Times New Roman" w:hAnsi="Times New Roman" w:cs="Times New Roman"/>
          <w:color w:val="auto"/>
        </w:rPr>
        <w:sectPr w:rsidR="007101E6" w:rsidRPr="005C4501">
          <w:pgSz w:w="12240" w:h="15840"/>
          <w:pgMar w:top="1440" w:right="1440" w:bottom="1440" w:left="1440" w:header="720" w:footer="720" w:gutter="0"/>
          <w:cols w:space="720"/>
          <w:docGrid w:linePitch="360"/>
        </w:sectPr>
      </w:pPr>
    </w:p>
    <w:p w14:paraId="475104B7" w14:textId="37ECDE40" w:rsidR="00073CF2" w:rsidRPr="005C4501" w:rsidRDefault="003B220E" w:rsidP="00A82D5C">
      <w:pPr>
        <w:pStyle w:val="Heading4"/>
        <w:rPr>
          <w:rFonts w:ascii="Times New Roman" w:hAnsi="Times New Roman" w:cs="Times New Roman"/>
          <w:color w:val="auto"/>
        </w:rPr>
      </w:pPr>
      <w:r w:rsidRPr="005C4501">
        <w:rPr>
          <w:rFonts w:ascii="Times New Roman" w:hAnsi="Times New Roman" w:cs="Times New Roman"/>
          <w:color w:val="auto"/>
        </w:rPr>
        <w:lastRenderedPageBreak/>
        <w:t>Table</w:t>
      </w:r>
      <w:r w:rsidR="00A82D5C" w:rsidRPr="005C4501">
        <w:rPr>
          <w:rFonts w:ascii="Times New Roman" w:hAnsi="Times New Roman" w:cs="Times New Roman"/>
          <w:color w:val="auto"/>
        </w:rPr>
        <w:t xml:space="preserve"> 1: Audit Analytic Misstatements by Error Type and Disclosure Method</w:t>
      </w:r>
    </w:p>
    <w:tbl>
      <w:tblPr>
        <w:tblW w:w="0" w:type="auto"/>
        <w:jc w:val="center"/>
        <w:tblLayout w:type="fixed"/>
        <w:tblLook w:val="0420" w:firstRow="1" w:lastRow="0" w:firstColumn="0" w:lastColumn="0" w:noHBand="0" w:noVBand="1"/>
      </w:tblPr>
      <w:tblGrid>
        <w:gridCol w:w="3150"/>
        <w:gridCol w:w="1020"/>
        <w:gridCol w:w="1020"/>
        <w:gridCol w:w="1020"/>
        <w:gridCol w:w="1020"/>
        <w:gridCol w:w="1020"/>
        <w:gridCol w:w="1020"/>
        <w:gridCol w:w="1020"/>
        <w:gridCol w:w="1020"/>
        <w:gridCol w:w="1020"/>
      </w:tblGrid>
      <w:tr w:rsidR="0020379C" w:rsidRPr="005C4501" w14:paraId="62176C27" w14:textId="77777777" w:rsidTr="0020379C">
        <w:trPr>
          <w:tblHeader/>
          <w:jc w:val="center"/>
        </w:trPr>
        <w:tc>
          <w:tcPr>
            <w:tcW w:w="31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62E08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center"/>
              <w:rPr>
                <w:rFonts w:cs="Times New Roman"/>
                <w:b/>
                <w:bCs/>
              </w:rPr>
            </w:pPr>
            <w:r w:rsidRPr="005C4501">
              <w:rPr>
                <w:rFonts w:eastAsia="Arial" w:cs="Times New Roman"/>
                <w:b/>
                <w:bCs/>
                <w:color w:val="000000"/>
              </w:rPr>
              <w:t>Error Type</w:t>
            </w:r>
          </w:p>
        </w:tc>
        <w:tc>
          <w:tcPr>
            <w:tcW w:w="10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4BD46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center"/>
              <w:rPr>
                <w:rFonts w:cs="Times New Roman"/>
                <w:b/>
                <w:bCs/>
              </w:rPr>
            </w:pPr>
            <w:r w:rsidRPr="005C4501">
              <w:rPr>
                <w:rFonts w:eastAsia="Arial" w:cs="Times New Roman"/>
                <w:b/>
                <w:bCs/>
                <w:color w:val="000000"/>
              </w:rPr>
              <w:t>Total</w:t>
            </w:r>
          </w:p>
        </w:tc>
        <w:tc>
          <w:tcPr>
            <w:tcW w:w="10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1FA8C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center"/>
              <w:rPr>
                <w:rFonts w:cs="Times New Roman"/>
                <w:b/>
                <w:bCs/>
              </w:rPr>
            </w:pPr>
            <w:r w:rsidRPr="005C4501">
              <w:rPr>
                <w:rFonts w:eastAsia="Arial" w:cs="Times New Roman"/>
                <w:b/>
                <w:bCs/>
                <w:color w:val="000000"/>
              </w:rPr>
              <w:t>Restate (#)</w:t>
            </w:r>
          </w:p>
        </w:tc>
        <w:tc>
          <w:tcPr>
            <w:tcW w:w="10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9B2A8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center"/>
              <w:rPr>
                <w:rFonts w:cs="Times New Roman"/>
                <w:b/>
                <w:bCs/>
              </w:rPr>
            </w:pPr>
            <w:r w:rsidRPr="005C4501">
              <w:rPr>
                <w:rFonts w:eastAsia="Arial" w:cs="Times New Roman"/>
                <w:b/>
                <w:bCs/>
                <w:color w:val="000000"/>
              </w:rPr>
              <w:t>Revision (#)</w:t>
            </w:r>
          </w:p>
        </w:tc>
        <w:tc>
          <w:tcPr>
            <w:tcW w:w="10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B01B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center"/>
              <w:rPr>
                <w:rFonts w:cs="Times New Roman"/>
                <w:b/>
                <w:bCs/>
              </w:rPr>
            </w:pPr>
            <w:r w:rsidRPr="005C4501">
              <w:rPr>
                <w:rFonts w:eastAsia="Arial" w:cs="Times New Roman"/>
                <w:b/>
                <w:bCs/>
                <w:color w:val="000000"/>
              </w:rPr>
              <w:t>Adjust (#)</w:t>
            </w:r>
          </w:p>
        </w:tc>
        <w:tc>
          <w:tcPr>
            <w:tcW w:w="10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CA0D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center"/>
              <w:rPr>
                <w:rFonts w:cs="Times New Roman"/>
                <w:b/>
                <w:bCs/>
              </w:rPr>
            </w:pPr>
            <w:r w:rsidRPr="005C4501">
              <w:rPr>
                <w:rFonts w:eastAsia="Arial" w:cs="Times New Roman"/>
                <w:b/>
                <w:bCs/>
                <w:color w:val="000000"/>
              </w:rPr>
              <w:t>Restate (%)</w:t>
            </w:r>
          </w:p>
        </w:tc>
        <w:tc>
          <w:tcPr>
            <w:tcW w:w="10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25C1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center"/>
              <w:rPr>
                <w:rFonts w:cs="Times New Roman"/>
                <w:b/>
                <w:bCs/>
              </w:rPr>
            </w:pPr>
            <w:r w:rsidRPr="005C4501">
              <w:rPr>
                <w:rFonts w:eastAsia="Arial" w:cs="Times New Roman"/>
                <w:b/>
                <w:bCs/>
                <w:color w:val="000000"/>
              </w:rPr>
              <w:t>Revision (%)</w:t>
            </w:r>
          </w:p>
        </w:tc>
        <w:tc>
          <w:tcPr>
            <w:tcW w:w="10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C413A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center"/>
              <w:rPr>
                <w:rFonts w:cs="Times New Roman"/>
                <w:b/>
                <w:bCs/>
              </w:rPr>
            </w:pPr>
            <w:r w:rsidRPr="005C4501">
              <w:rPr>
                <w:rFonts w:eastAsia="Arial" w:cs="Times New Roman"/>
                <w:b/>
                <w:bCs/>
                <w:color w:val="000000"/>
              </w:rPr>
              <w:t>Adjust (%)</w:t>
            </w:r>
          </w:p>
        </w:tc>
        <w:tc>
          <w:tcPr>
            <w:tcW w:w="10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33E9E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center"/>
              <w:rPr>
                <w:rFonts w:cs="Times New Roman"/>
                <w:b/>
                <w:bCs/>
              </w:rPr>
            </w:pPr>
            <w:r w:rsidRPr="005C4501">
              <w:rPr>
                <w:rFonts w:eastAsia="Arial" w:cs="Times New Roman"/>
                <w:b/>
                <w:bCs/>
                <w:color w:val="000000"/>
              </w:rPr>
              <w:t>Test Statistic</w:t>
            </w:r>
          </w:p>
        </w:tc>
        <w:tc>
          <w:tcPr>
            <w:tcW w:w="10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A222A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center"/>
              <w:rPr>
                <w:rFonts w:cs="Times New Roman"/>
                <w:b/>
                <w:bCs/>
              </w:rPr>
            </w:pPr>
            <w:r w:rsidRPr="005C4501">
              <w:rPr>
                <w:rFonts w:eastAsia="Arial" w:cs="Times New Roman"/>
                <w:b/>
                <w:bCs/>
                <w:color w:val="000000"/>
              </w:rPr>
              <w:t>P-Value</w:t>
            </w:r>
          </w:p>
        </w:tc>
      </w:tr>
      <w:tr w:rsidR="0020379C" w:rsidRPr="005C4501" w14:paraId="56BFEC46" w14:textId="77777777" w:rsidTr="0020379C">
        <w:trPr>
          <w:jc w:val="center"/>
        </w:trPr>
        <w:tc>
          <w:tcPr>
            <w:tcW w:w="31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D031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Tax expense</w:t>
            </w:r>
          </w:p>
        </w:tc>
        <w:tc>
          <w:tcPr>
            <w:tcW w:w="10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B500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2,425</w:t>
            </w:r>
          </w:p>
        </w:tc>
        <w:tc>
          <w:tcPr>
            <w:tcW w:w="10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B21B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411</w:t>
            </w:r>
          </w:p>
        </w:tc>
        <w:tc>
          <w:tcPr>
            <w:tcW w:w="10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97A9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1,012</w:t>
            </w:r>
          </w:p>
        </w:tc>
        <w:tc>
          <w:tcPr>
            <w:tcW w:w="10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D30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1,002</w:t>
            </w:r>
          </w:p>
        </w:tc>
        <w:tc>
          <w:tcPr>
            <w:tcW w:w="10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9359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16.9%</w:t>
            </w:r>
          </w:p>
        </w:tc>
        <w:tc>
          <w:tcPr>
            <w:tcW w:w="10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8D1D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41.7%</w:t>
            </w:r>
          </w:p>
        </w:tc>
        <w:tc>
          <w:tcPr>
            <w:tcW w:w="10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720F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41.3%</w:t>
            </w:r>
          </w:p>
        </w:tc>
        <w:tc>
          <w:tcPr>
            <w:tcW w:w="10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860F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-16.164</w:t>
            </w:r>
          </w:p>
        </w:tc>
        <w:tc>
          <w:tcPr>
            <w:tcW w:w="10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C0D1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0C1CC809" w14:textId="77777777" w:rsidTr="002C64AA">
        <w:trPr>
          <w:jc w:val="center"/>
        </w:trPr>
        <w:tc>
          <w:tcPr>
            <w:tcW w:w="3150"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1BD811F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Cash flow statement</w:t>
            </w:r>
          </w:p>
        </w:tc>
        <w:tc>
          <w:tcPr>
            <w:tcW w:w="1020"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4B3731F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1,766</w:t>
            </w:r>
          </w:p>
        </w:tc>
        <w:tc>
          <w:tcPr>
            <w:tcW w:w="1020"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1F8396E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276</w:t>
            </w:r>
          </w:p>
        </w:tc>
        <w:tc>
          <w:tcPr>
            <w:tcW w:w="1020"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1641308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1,461</w:t>
            </w:r>
          </w:p>
        </w:tc>
        <w:tc>
          <w:tcPr>
            <w:tcW w:w="1020"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5DEE7FC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29</w:t>
            </w:r>
          </w:p>
        </w:tc>
        <w:tc>
          <w:tcPr>
            <w:tcW w:w="1020"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21A8067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15.6%</w:t>
            </w:r>
          </w:p>
        </w:tc>
        <w:tc>
          <w:tcPr>
            <w:tcW w:w="1020"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460D375C"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82.7%</w:t>
            </w:r>
          </w:p>
        </w:tc>
        <w:tc>
          <w:tcPr>
            <w:tcW w:w="1020"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0411916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1.6%</w:t>
            </w:r>
          </w:p>
        </w:tc>
        <w:tc>
          <w:tcPr>
            <w:tcW w:w="1020"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3102D84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-14.980</w:t>
            </w:r>
          </w:p>
        </w:tc>
        <w:tc>
          <w:tcPr>
            <w:tcW w:w="1020" w:type="dxa"/>
            <w:tcBorders>
              <w:top w:val="none" w:sz="0" w:space="0" w:color="000000"/>
              <w:left w:val="none" w:sz="0" w:space="0" w:color="000000"/>
              <w:bottom w:val="none" w:sz="0" w:space="0" w:color="000000"/>
              <w:right w:val="none" w:sz="0" w:space="0" w:color="000000"/>
            </w:tcBorders>
            <w:shd w:val="clear" w:color="auto" w:fill="BFBFBF" w:themeFill="background1" w:themeFillShade="BF"/>
            <w:tcMar>
              <w:top w:w="0" w:type="dxa"/>
              <w:left w:w="0" w:type="dxa"/>
              <w:bottom w:w="0" w:type="dxa"/>
              <w:right w:w="0" w:type="dxa"/>
            </w:tcMar>
            <w:vAlign w:val="center"/>
          </w:tcPr>
          <w:p w14:paraId="552F214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399E42FF"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2C4E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Liabilities</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9B92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1,819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FD23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452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0A72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979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8865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388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679E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24.8%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FFCB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53.8%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E07B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21.3%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AC32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-6.794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DC0E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3F504E3A"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D0BD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Footnote &amp; segments</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B79A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443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74AB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78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963A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322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0171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2B40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17.6%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084B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72.7%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086D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9.7%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1096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-6.612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3339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1FB185B0"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5DD6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Operating expenses</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B026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1,800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7B7F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480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8EE9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981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7219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339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0001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26.7%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107D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54.5%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5A81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18.8%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DE83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-5.109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2AE3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717E3CAF"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27C6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Depreciation &amp; amortization</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ADEC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601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2034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137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4025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248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BD8F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216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F6F7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22.8%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526F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4A4A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35.9%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E5DB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-4.982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CDE6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196DE97A"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B093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Balance sheet classification</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DAF1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349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2E7F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70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A3B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261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A1A5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14F7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20.1%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1D26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74.8%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2B64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7A66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-4.890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854E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4C08FAFA"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2B2B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Intercompany transactions</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E84E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C44E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93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A00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263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4BA7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1188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22.4%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5E11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63.2%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8C2C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14.4%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48E6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-4.336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7DDE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3FD4280D"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11FA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Consolidation</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8843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1,351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5FCF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365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568C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635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1F2E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351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0B33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7C01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0637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5BF0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-4.151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DBD4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6F07773C"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1513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Comprehensive income</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5FFC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148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249B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3A65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94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1007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AC8A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20.3%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104E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63.5%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55E3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16.2%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C577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-3.129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386C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0.002</w:t>
            </w:r>
          </w:p>
        </w:tc>
      </w:tr>
      <w:tr w:rsidR="0020379C" w:rsidRPr="005C4501" w14:paraId="0D01566A"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61B6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PPE</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619C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648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6EB1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176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4988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280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B88F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192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17DF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27.2%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A1C3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43.2%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A09C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29.6%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60B4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-2.797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BA9E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0.005</w:t>
            </w:r>
          </w:p>
        </w:tc>
      </w:tr>
      <w:tr w:rsidR="0020379C" w:rsidRPr="005C4501" w14:paraId="48CE6693"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CD80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Inventory &amp; COGS</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8753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1,064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65FD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302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72A7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510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5318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252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21F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28.4%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9D82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47.9%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52F1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23.7%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BB18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-2.731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5BE9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0.006</w:t>
            </w:r>
          </w:p>
        </w:tc>
      </w:tr>
      <w:tr w:rsidR="0020379C" w:rsidRPr="005C4501" w14:paraId="1D3653B0"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1F19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Subsidiaries &amp; related parties</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D0B3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1,402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2FD2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0E1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758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4A6C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230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E138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29.5%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F0A1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54.1%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2F71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16.4%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E9CF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-2.217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7885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0.027</w:t>
            </w:r>
          </w:p>
        </w:tc>
      </w:tr>
      <w:tr w:rsidR="0020379C" w:rsidRPr="005C4501" w14:paraId="4AE1DABC"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557E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Other</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B533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429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4A50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118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B9F9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194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51CA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117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7DA4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27.5%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D997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45.2%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4D1C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27.3%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19D6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-2.123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17DB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0.034</w:t>
            </w:r>
          </w:p>
        </w:tc>
      </w:tr>
      <w:tr w:rsidR="0020379C" w:rsidRPr="005C4501" w14:paraId="198E7002"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129AC"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EPS and ratios</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8A15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557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2A27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165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F352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381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6DA0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8307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29.6%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815D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68.4%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B371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E5B7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-1.350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5E0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0.177</w:t>
            </w:r>
          </w:p>
        </w:tc>
      </w:tr>
      <w:tr w:rsidR="0020379C" w:rsidRPr="005C4501" w14:paraId="4A0F98E0"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BCB2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Pension</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E5E0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1,063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9325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324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D159C"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518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2F1F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221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A671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30.5%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140E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48.7%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2F70C"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20.8%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C2BC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-1.268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82F6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0.205</w:t>
            </w:r>
          </w:p>
        </w:tc>
      </w:tr>
      <w:tr w:rsidR="0020379C" w:rsidRPr="005C4501" w14:paraId="1D8CACDB"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8990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Derivatives</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3583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245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D0CE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71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5C82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124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254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C518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0E3E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50.6%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3639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20.4%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16A4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-1.111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81E3C"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0.267</w:t>
            </w:r>
          </w:p>
        </w:tc>
      </w:tr>
      <w:tr w:rsidR="0020379C" w:rsidRPr="005C4501" w14:paraId="661AEC3E"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004D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Leases</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7215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803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71A5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247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B431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330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AADF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226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BA7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30.8%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023E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DE46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28.1%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11A7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-0.932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029A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0.351</w:t>
            </w:r>
          </w:p>
        </w:tc>
      </w:tr>
      <w:tr w:rsidR="0020379C" w:rsidRPr="005C4501" w14:paraId="4B0997E1"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6069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Gain/loss recognition</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71F8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241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0532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74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20CD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108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2F3D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0416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30.7%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9501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44.8%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2D24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24.5%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9F00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-0.529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9BDF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0.597</w:t>
            </w:r>
          </w:p>
        </w:tc>
      </w:tr>
      <w:tr w:rsidR="0020379C" w:rsidRPr="005C4501" w14:paraId="4C47CEC1"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462FC"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Expense capitalization</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64BF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E1F1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133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AE08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205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4D04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81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7B60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31.7%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DCEE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48.9%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84B6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19.3%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1076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-0.243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4FC1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0.808</w:t>
            </w:r>
          </w:p>
        </w:tc>
      </w:tr>
      <w:tr w:rsidR="0020379C" w:rsidRPr="005C4501" w14:paraId="5C05DC54"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3982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Assets</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017E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1,263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20B1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0CCE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668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14EF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184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F81D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32.5%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6129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52.9%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3144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14.6%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CB17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0.185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20B3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0.853</w:t>
            </w:r>
          </w:p>
        </w:tc>
      </w:tr>
      <w:tr w:rsidR="0020379C" w:rsidRPr="005C4501" w14:paraId="1136EBF4"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2732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Revenue recognition</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B96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2,053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0FE1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674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05F1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911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CF20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468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E26B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32.8%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F7C4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44.4%</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005D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22.8%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DC71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0.516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C05C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0.606</w:t>
            </w:r>
          </w:p>
        </w:tc>
      </w:tr>
      <w:tr w:rsidR="0020379C" w:rsidRPr="005C4501" w14:paraId="35553AE6"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6B3C1"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Registration</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AAADC"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79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9992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57F3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DC86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E017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46.8%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A26B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51.9%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C0C1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82DB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2.763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D8B4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0.006</w:t>
            </w:r>
          </w:p>
        </w:tc>
      </w:tr>
      <w:tr w:rsidR="0020379C" w:rsidRPr="005C4501" w14:paraId="18826493"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1590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Stock compensation</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23D3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1,383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3134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500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6D89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673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FFE3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210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9147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36.2%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417A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48.7%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CC93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15.2%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F675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3.066</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C6F3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0.002</w:t>
            </w:r>
          </w:p>
        </w:tc>
      </w:tr>
      <w:tr w:rsidR="0020379C" w:rsidRPr="005C4501" w14:paraId="6412B426"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9279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Acquisitions, mergers, &amp; reorg</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134BC"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2,283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0D87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932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CB0E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992</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B9B2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359</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C366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40.8%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0FF3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43.5%</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ABD7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15.7%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43137"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8.711</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0C56D"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0CA74566" w14:textId="77777777" w:rsidTr="0020379C">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5EF92"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Auditor</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47EB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F1C8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6819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7800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7B9D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87.7%</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1BF34"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12.3%</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11405"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9CD79"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8.948</w:t>
            </w:r>
          </w:p>
        </w:tc>
        <w:tc>
          <w:tcPr>
            <w:tcW w:w="10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C63A3"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r w:rsidR="0020379C" w:rsidRPr="005C4501" w14:paraId="11A7D2A8" w14:textId="77777777" w:rsidTr="0020379C">
        <w:trPr>
          <w:jc w:val="center"/>
        </w:trPr>
        <w:tc>
          <w:tcPr>
            <w:tcW w:w="31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1E241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rPr>
                <w:rFonts w:cs="Times New Roman"/>
              </w:rPr>
            </w:pPr>
            <w:r w:rsidRPr="005C4501">
              <w:rPr>
                <w:rFonts w:eastAsia="Arial" w:cs="Times New Roman"/>
                <w:color w:val="000000"/>
              </w:rPr>
              <w:t>Debt and/or equity classification</w:t>
            </w:r>
          </w:p>
        </w:tc>
        <w:tc>
          <w:tcPr>
            <w:tcW w:w="10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5B2528"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5,347</w:t>
            </w:r>
          </w:p>
        </w:tc>
        <w:tc>
          <w:tcPr>
            <w:tcW w:w="10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AD15BE"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2,816</w:t>
            </w:r>
          </w:p>
        </w:tc>
        <w:tc>
          <w:tcPr>
            <w:tcW w:w="10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280C4A"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2,270</w:t>
            </w:r>
          </w:p>
        </w:tc>
        <w:tc>
          <w:tcPr>
            <w:tcW w:w="10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6C4CCC"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261</w:t>
            </w:r>
          </w:p>
        </w:tc>
        <w:tc>
          <w:tcPr>
            <w:tcW w:w="10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B06C0"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52.7%</w:t>
            </w:r>
          </w:p>
        </w:tc>
        <w:tc>
          <w:tcPr>
            <w:tcW w:w="10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CEC906"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42.5%</w:t>
            </w:r>
          </w:p>
        </w:tc>
        <w:tc>
          <w:tcPr>
            <w:tcW w:w="10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2936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4.9%</w:t>
            </w:r>
          </w:p>
        </w:tc>
        <w:tc>
          <w:tcPr>
            <w:tcW w:w="10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DE381B"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31.849</w:t>
            </w:r>
          </w:p>
        </w:tc>
        <w:tc>
          <w:tcPr>
            <w:tcW w:w="10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1B26AF" w14:textId="77777777" w:rsidR="0020379C" w:rsidRPr="005C4501" w:rsidRDefault="0020379C" w:rsidP="0020379C">
            <w:pPr>
              <w:pBdr>
                <w:top w:val="none" w:sz="0" w:space="0" w:color="000000"/>
                <w:left w:val="none" w:sz="0" w:space="0" w:color="000000"/>
                <w:bottom w:val="none" w:sz="0" w:space="0" w:color="000000"/>
                <w:right w:val="none" w:sz="0" w:space="0" w:color="000000"/>
              </w:pBdr>
              <w:spacing w:after="0"/>
              <w:ind w:left="100" w:right="100"/>
              <w:jc w:val="right"/>
              <w:rPr>
                <w:rFonts w:cs="Times New Roman"/>
              </w:rPr>
            </w:pPr>
            <w:r w:rsidRPr="005C4501">
              <w:rPr>
                <w:rFonts w:eastAsia="Arial" w:cs="Times New Roman"/>
                <w:color w:val="000000"/>
              </w:rPr>
              <w:t>0.000</w:t>
            </w:r>
          </w:p>
        </w:tc>
      </w:tr>
    </w:tbl>
    <w:p w14:paraId="392F3068" w14:textId="5AD13AA0" w:rsidR="007101E6" w:rsidRPr="00BB0A27" w:rsidRDefault="002C64AA" w:rsidP="00CE224C">
      <w:pPr>
        <w:jc w:val="both"/>
        <w:rPr>
          <w:rFonts w:eastAsiaTheme="minorEastAsia" w:cs="Times New Roman"/>
        </w:rPr>
        <w:sectPr w:rsidR="007101E6" w:rsidRPr="00BB0A27" w:rsidSect="007101E6">
          <w:pgSz w:w="15840" w:h="12240" w:orient="landscape"/>
          <w:pgMar w:top="1440" w:right="1440" w:bottom="1440" w:left="1440" w:header="720" w:footer="720" w:gutter="0"/>
          <w:cols w:space="720"/>
          <w:docGrid w:linePitch="360"/>
        </w:sectPr>
      </w:pPr>
      <w:r w:rsidRPr="005C4501">
        <w:rPr>
          <w:rFonts w:eastAsiaTheme="minorEastAsia" w:cs="Times New Roman"/>
        </w:rPr>
        <w:t>This table summarizes the frequency and reporting treatment of various types of errors from misstatements. 'Restatements', 'Revisions', and 'Adjustments' are  the types of disclosure methods for a misstatement. 'Test Statistic' is a z-statistic comparing the restatement rate for each error type to the overall restatement rate. 'P-Value' is the two-tailed significance level for the test statistic.</w:t>
      </w:r>
    </w:p>
    <w:p w14:paraId="0183509C" w14:textId="552F5874" w:rsidR="00132C3F" w:rsidRPr="005C4501" w:rsidRDefault="00132C3F" w:rsidP="00CE224C">
      <w:pPr>
        <w:jc w:val="both"/>
        <w:rPr>
          <w:rFonts w:cs="Times New Roman"/>
          <w:b/>
          <w:bCs/>
        </w:rPr>
      </w:pPr>
    </w:p>
    <w:sectPr w:rsidR="00132C3F" w:rsidRPr="005C450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kins, Mike" w:date="2026-03-19T10:25:00Z" w:initials="MW">
    <w:p w14:paraId="0A0CAC3E" w14:textId="77777777" w:rsidR="007569CC" w:rsidRDefault="007569CC" w:rsidP="007569CC">
      <w:pPr>
        <w:pStyle w:val="CommentText"/>
      </w:pPr>
      <w:r>
        <w:rPr>
          <w:rStyle w:val="CommentReference"/>
        </w:rPr>
        <w:annotationRef/>
      </w:r>
      <w:r>
        <w:t>I think this angle makes the idea more compelling</w:t>
      </w:r>
    </w:p>
  </w:comment>
  <w:comment w:id="1" w:author="Wilkins, Mike" w:date="2026-03-19T10:28:00Z" w:initials="MW">
    <w:p w14:paraId="0FA90183" w14:textId="77777777" w:rsidR="00380A23" w:rsidRDefault="00380A23" w:rsidP="00380A23">
      <w:pPr>
        <w:pStyle w:val="CommentText"/>
      </w:pPr>
      <w:r>
        <w:rPr>
          <w:rStyle w:val="CommentReference"/>
        </w:rPr>
        <w:annotationRef/>
      </w:r>
      <w:r>
        <w:t>Having specific quotes about concerns regarding SCF restatements and perhaps even about materiality questions ultimately will help sell things better</w:t>
      </w:r>
    </w:p>
  </w:comment>
  <w:comment w:id="2" w:author="Wilkins, Mike" w:date="2026-03-19T10:30:00Z" w:initials="MW">
    <w:p w14:paraId="3EA9F2AF" w14:textId="77777777" w:rsidR="00380A23" w:rsidRDefault="00380A23" w:rsidP="00380A23">
      <w:pPr>
        <w:pStyle w:val="CommentText"/>
      </w:pPr>
      <w:r>
        <w:rPr>
          <w:rStyle w:val="CommentReference"/>
        </w:rPr>
        <w:annotationRef/>
      </w:r>
      <w:r>
        <w:t>Would the expectation be positive for all misstatements? I don’t know the answer, but it seems to me that small misstatements are more likely than large misstatements such that you would expect a positive coefficient regardless of the nature of the misstatement. Since you can’t partial out the effects for every other type of misstatement individually, perhaps you could run the model for all misstatements (not just SCF misstatements), add a second variable that is non-SCF Error, and see whether those coefficients are different.</w:t>
      </w:r>
    </w:p>
  </w:comment>
  <w:comment w:id="3" w:author="Wilkins, Mike" w:date="2026-03-19T10:40:00Z" w:initials="MW">
    <w:p w14:paraId="1D9852E1" w14:textId="77777777" w:rsidR="001C6324" w:rsidRDefault="001C6324" w:rsidP="001C6324">
      <w:pPr>
        <w:pStyle w:val="CommentText"/>
      </w:pPr>
      <w:r>
        <w:rPr>
          <w:rStyle w:val="CommentReference"/>
        </w:rPr>
        <w:annotationRef/>
      </w:r>
      <w:r>
        <w:t>This is one way to think about it. But another way would be to check whether materiality thresholds differ for SCF restatements vs other restatements. You could look at Chenxi’s dissertation paper (AJPT August 2025) and see the different ways she measures quantitative and qualitative materiality. With those in mind, what is “average materiality” for SCF errors versus other errors? And is it more likely that an error that is probably material will be classified as a revision if it is a SCF error relative to another type of error?</w:t>
      </w:r>
    </w:p>
  </w:comment>
  <w:comment w:id="4" w:author="Wilkins, Mike" w:date="2026-03-19T10:50:00Z" w:initials="MW">
    <w:p w14:paraId="6BCC9618" w14:textId="77777777" w:rsidR="008B6C9B" w:rsidRDefault="008B6C9B" w:rsidP="008B6C9B">
      <w:pPr>
        <w:pStyle w:val="CommentText"/>
      </w:pPr>
      <w:r>
        <w:rPr>
          <w:rStyle w:val="CommentReference"/>
        </w:rPr>
        <w:annotationRef/>
      </w:r>
      <w:r>
        <w:t>This seems fine. I think it might be useful to begin by not partitioning based on revision versus restatement just to see whether “correct” classification matters (regardless of how big the error is).</w:t>
      </w:r>
    </w:p>
    <w:p w14:paraId="22A6F4E8" w14:textId="77777777" w:rsidR="008B6C9B" w:rsidRDefault="008B6C9B" w:rsidP="008B6C9B">
      <w:pPr>
        <w:pStyle w:val="CommentText"/>
      </w:pPr>
    </w:p>
    <w:p w14:paraId="476EE6D5" w14:textId="77777777" w:rsidR="008B6C9B" w:rsidRDefault="008B6C9B" w:rsidP="008B6C9B">
      <w:pPr>
        <w:pStyle w:val="CommentText"/>
      </w:pPr>
      <w:r>
        <w:t>I’m also wondering about a couple of potentially mechanical issues. First, assuming the reclassifications systematically overstate CFO (which I’m assuming they do), does that create mechanical relationships for that coefficient? Second, since the sum of CFO, CFI, and CFF is going to equal total change in cash regardless of how things are classified, will differences in the “weights” of those components in terms of predicting next year’s change in cash matter? I’m having a hard time explaining exactly what I mean there so maybe it isn’t an issue at all.</w:t>
      </w:r>
    </w:p>
  </w:comment>
  <w:comment w:id="5" w:author="Wilkins, Mike" w:date="2026-03-19T10:54:00Z" w:initials="MW">
    <w:p w14:paraId="4481D1FF" w14:textId="77777777" w:rsidR="00E07B0C" w:rsidRDefault="00E07B0C" w:rsidP="00E07B0C">
      <w:pPr>
        <w:pStyle w:val="CommentText"/>
      </w:pPr>
      <w:r>
        <w:rPr>
          <w:rStyle w:val="CommentReference"/>
        </w:rPr>
        <w:annotationRef/>
      </w:r>
      <w:r>
        <w:t>I can’t 100% tell what you mean here, but a general comment is tied to my earlier ones – I don’t think looking at revisions should be the FIRST thing you do for any of these thiings. To establish whether SCF restatements are broadly important or not, you should start with all SCF restatements. Then you can drill down to whether materiality matters.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0CAC3E" w15:done="0"/>
  <w15:commentEx w15:paraId="0FA90183" w15:done="0"/>
  <w15:commentEx w15:paraId="3EA9F2AF" w15:done="0"/>
  <w15:commentEx w15:paraId="1D9852E1" w15:done="0"/>
  <w15:commentEx w15:paraId="476EE6D5" w15:done="0"/>
  <w15:commentEx w15:paraId="4481D1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61052F" w16cex:dateUtc="2026-03-19T15:25:00Z"/>
  <w16cex:commentExtensible w16cex:durableId="23DD41D0" w16cex:dateUtc="2026-03-19T15:28:00Z"/>
  <w16cex:commentExtensible w16cex:durableId="39AE82CE" w16cex:dateUtc="2026-03-19T15:30:00Z"/>
  <w16cex:commentExtensible w16cex:durableId="4C3175E3" w16cex:dateUtc="2026-03-19T15:40:00Z"/>
  <w16cex:commentExtensible w16cex:durableId="41DE84CE" w16cex:dateUtc="2026-03-19T15:50:00Z"/>
  <w16cex:commentExtensible w16cex:durableId="55CE0F3E" w16cex:dateUtc="2026-03-19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0CAC3E" w16cid:durableId="5361052F"/>
  <w16cid:commentId w16cid:paraId="0FA90183" w16cid:durableId="23DD41D0"/>
  <w16cid:commentId w16cid:paraId="3EA9F2AF" w16cid:durableId="39AE82CE"/>
  <w16cid:commentId w16cid:paraId="1D9852E1" w16cid:durableId="4C3175E3"/>
  <w16cid:commentId w16cid:paraId="476EE6D5" w16cid:durableId="41DE84CE"/>
  <w16cid:commentId w16cid:paraId="4481D1FF" w16cid:durableId="55CE0F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82290"/>
    <w:multiLevelType w:val="hybridMultilevel"/>
    <w:tmpl w:val="567A1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0C5C06"/>
    <w:multiLevelType w:val="hybridMultilevel"/>
    <w:tmpl w:val="2BAA7B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5057402">
    <w:abstractNumId w:val="1"/>
  </w:num>
  <w:num w:numId="2" w16cid:durableId="15461410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kins, Mike">
    <w15:presenceInfo w15:providerId="AD" w15:userId="S::m748w704@home.ku.edu::fff11252-8a31-48d6-a598-14e3c63bc6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925"/>
    <w:rsid w:val="00003E54"/>
    <w:rsid w:val="0001313D"/>
    <w:rsid w:val="00014925"/>
    <w:rsid w:val="00017758"/>
    <w:rsid w:val="00055852"/>
    <w:rsid w:val="00073CF2"/>
    <w:rsid w:val="000A672C"/>
    <w:rsid w:val="000C3508"/>
    <w:rsid w:val="000D50F4"/>
    <w:rsid w:val="00112A36"/>
    <w:rsid w:val="00120DC9"/>
    <w:rsid w:val="00121E8D"/>
    <w:rsid w:val="0012578D"/>
    <w:rsid w:val="00132C3F"/>
    <w:rsid w:val="00141C55"/>
    <w:rsid w:val="00151D41"/>
    <w:rsid w:val="00183A38"/>
    <w:rsid w:val="001B4553"/>
    <w:rsid w:val="001C0C74"/>
    <w:rsid w:val="001C6324"/>
    <w:rsid w:val="001C6CFF"/>
    <w:rsid w:val="001D7E53"/>
    <w:rsid w:val="0020379C"/>
    <w:rsid w:val="00287435"/>
    <w:rsid w:val="00293A4C"/>
    <w:rsid w:val="00295254"/>
    <w:rsid w:val="0029651C"/>
    <w:rsid w:val="002B0B58"/>
    <w:rsid w:val="002C64AA"/>
    <w:rsid w:val="002E53F4"/>
    <w:rsid w:val="00372605"/>
    <w:rsid w:val="00380A23"/>
    <w:rsid w:val="003B1195"/>
    <w:rsid w:val="003B1662"/>
    <w:rsid w:val="003B220E"/>
    <w:rsid w:val="003D1ADE"/>
    <w:rsid w:val="003D1EE8"/>
    <w:rsid w:val="00435A56"/>
    <w:rsid w:val="004D5E92"/>
    <w:rsid w:val="004E31D6"/>
    <w:rsid w:val="004F3B3C"/>
    <w:rsid w:val="004F6AA5"/>
    <w:rsid w:val="00506D08"/>
    <w:rsid w:val="00522A7A"/>
    <w:rsid w:val="005744B0"/>
    <w:rsid w:val="00583B6F"/>
    <w:rsid w:val="00593D39"/>
    <w:rsid w:val="005B2875"/>
    <w:rsid w:val="005B366F"/>
    <w:rsid w:val="005C4501"/>
    <w:rsid w:val="00613516"/>
    <w:rsid w:val="0064311E"/>
    <w:rsid w:val="00667186"/>
    <w:rsid w:val="00676B27"/>
    <w:rsid w:val="006848A3"/>
    <w:rsid w:val="00684BA0"/>
    <w:rsid w:val="006C0A2C"/>
    <w:rsid w:val="00700963"/>
    <w:rsid w:val="007101E6"/>
    <w:rsid w:val="00725B73"/>
    <w:rsid w:val="007569CC"/>
    <w:rsid w:val="007A6722"/>
    <w:rsid w:val="007D68D0"/>
    <w:rsid w:val="00812D47"/>
    <w:rsid w:val="0083106C"/>
    <w:rsid w:val="00861F5A"/>
    <w:rsid w:val="00880B90"/>
    <w:rsid w:val="008B3E4E"/>
    <w:rsid w:val="008B6C9B"/>
    <w:rsid w:val="008C3280"/>
    <w:rsid w:val="008D752F"/>
    <w:rsid w:val="00926119"/>
    <w:rsid w:val="00936CCC"/>
    <w:rsid w:val="00950E80"/>
    <w:rsid w:val="009568D4"/>
    <w:rsid w:val="00966225"/>
    <w:rsid w:val="009B0800"/>
    <w:rsid w:val="009C6CBA"/>
    <w:rsid w:val="00A16789"/>
    <w:rsid w:val="00A64344"/>
    <w:rsid w:val="00A82D5C"/>
    <w:rsid w:val="00A956A6"/>
    <w:rsid w:val="00AA6BB6"/>
    <w:rsid w:val="00AB1FC8"/>
    <w:rsid w:val="00AE0B44"/>
    <w:rsid w:val="00AF6157"/>
    <w:rsid w:val="00B43430"/>
    <w:rsid w:val="00B747A0"/>
    <w:rsid w:val="00B7773F"/>
    <w:rsid w:val="00BB0A27"/>
    <w:rsid w:val="00BF0825"/>
    <w:rsid w:val="00C0078E"/>
    <w:rsid w:val="00C060CD"/>
    <w:rsid w:val="00C25FE7"/>
    <w:rsid w:val="00C549D0"/>
    <w:rsid w:val="00CB391B"/>
    <w:rsid w:val="00CB4798"/>
    <w:rsid w:val="00CE1944"/>
    <w:rsid w:val="00CE224C"/>
    <w:rsid w:val="00CE3E83"/>
    <w:rsid w:val="00D0140A"/>
    <w:rsid w:val="00D5273C"/>
    <w:rsid w:val="00D910E3"/>
    <w:rsid w:val="00DB26E1"/>
    <w:rsid w:val="00E07B0C"/>
    <w:rsid w:val="00EA7E8C"/>
    <w:rsid w:val="00EC1509"/>
    <w:rsid w:val="00ED6A28"/>
    <w:rsid w:val="00F311D1"/>
    <w:rsid w:val="00F81A2D"/>
    <w:rsid w:val="00F9794A"/>
    <w:rsid w:val="00FD7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DB94"/>
  <w15:chartTrackingRefBased/>
  <w15:docId w15:val="{8046CFEB-C91D-413A-ABCB-5069B00F3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9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49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49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49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49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49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49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49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0149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49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49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49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49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49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4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9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9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4925"/>
    <w:pPr>
      <w:spacing w:before="160"/>
      <w:jc w:val="center"/>
    </w:pPr>
    <w:rPr>
      <w:i/>
      <w:iCs/>
      <w:color w:val="404040" w:themeColor="text1" w:themeTint="BF"/>
    </w:rPr>
  </w:style>
  <w:style w:type="character" w:customStyle="1" w:styleId="QuoteChar">
    <w:name w:val="Quote Char"/>
    <w:basedOn w:val="DefaultParagraphFont"/>
    <w:link w:val="Quote"/>
    <w:uiPriority w:val="29"/>
    <w:rsid w:val="00014925"/>
    <w:rPr>
      <w:i/>
      <w:iCs/>
      <w:color w:val="404040" w:themeColor="text1" w:themeTint="BF"/>
    </w:rPr>
  </w:style>
  <w:style w:type="paragraph" w:styleId="ListParagraph">
    <w:name w:val="List Paragraph"/>
    <w:basedOn w:val="Normal"/>
    <w:uiPriority w:val="34"/>
    <w:qFormat/>
    <w:rsid w:val="00014925"/>
    <w:pPr>
      <w:ind w:left="720"/>
      <w:contextualSpacing/>
    </w:pPr>
  </w:style>
  <w:style w:type="character" w:styleId="IntenseEmphasis">
    <w:name w:val="Intense Emphasis"/>
    <w:basedOn w:val="DefaultParagraphFont"/>
    <w:uiPriority w:val="21"/>
    <w:qFormat/>
    <w:rsid w:val="00014925"/>
    <w:rPr>
      <w:i/>
      <w:iCs/>
      <w:color w:val="0F4761" w:themeColor="accent1" w:themeShade="BF"/>
    </w:rPr>
  </w:style>
  <w:style w:type="paragraph" w:styleId="IntenseQuote">
    <w:name w:val="Intense Quote"/>
    <w:basedOn w:val="Normal"/>
    <w:next w:val="Normal"/>
    <w:link w:val="IntenseQuoteChar"/>
    <w:uiPriority w:val="30"/>
    <w:qFormat/>
    <w:rsid w:val="00014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925"/>
    <w:rPr>
      <w:i/>
      <w:iCs/>
      <w:color w:val="0F4761" w:themeColor="accent1" w:themeShade="BF"/>
    </w:rPr>
  </w:style>
  <w:style w:type="character" w:styleId="IntenseReference">
    <w:name w:val="Intense Reference"/>
    <w:basedOn w:val="DefaultParagraphFont"/>
    <w:uiPriority w:val="32"/>
    <w:qFormat/>
    <w:rsid w:val="00014925"/>
    <w:rPr>
      <w:b/>
      <w:bCs/>
      <w:smallCaps/>
      <w:color w:val="0F4761" w:themeColor="accent1" w:themeShade="BF"/>
      <w:spacing w:val="5"/>
    </w:rPr>
  </w:style>
  <w:style w:type="character" w:styleId="PlaceholderText">
    <w:name w:val="Placeholder Text"/>
    <w:basedOn w:val="DefaultParagraphFont"/>
    <w:uiPriority w:val="99"/>
    <w:semiHidden/>
    <w:rsid w:val="004E31D6"/>
    <w:rPr>
      <w:color w:val="666666"/>
    </w:rPr>
  </w:style>
  <w:style w:type="character" w:styleId="CommentReference">
    <w:name w:val="annotation reference"/>
    <w:basedOn w:val="DefaultParagraphFont"/>
    <w:uiPriority w:val="99"/>
    <w:semiHidden/>
    <w:unhideWhenUsed/>
    <w:rsid w:val="000C3508"/>
    <w:rPr>
      <w:sz w:val="16"/>
      <w:szCs w:val="16"/>
    </w:rPr>
  </w:style>
  <w:style w:type="paragraph" w:styleId="CommentText">
    <w:name w:val="annotation text"/>
    <w:basedOn w:val="Normal"/>
    <w:link w:val="CommentTextChar"/>
    <w:uiPriority w:val="99"/>
    <w:unhideWhenUsed/>
    <w:rsid w:val="000C3508"/>
    <w:pPr>
      <w:spacing w:line="240" w:lineRule="auto"/>
    </w:pPr>
    <w:rPr>
      <w:sz w:val="20"/>
      <w:szCs w:val="20"/>
    </w:rPr>
  </w:style>
  <w:style w:type="character" w:customStyle="1" w:styleId="CommentTextChar">
    <w:name w:val="Comment Text Char"/>
    <w:basedOn w:val="DefaultParagraphFont"/>
    <w:link w:val="CommentText"/>
    <w:uiPriority w:val="99"/>
    <w:rsid w:val="000C3508"/>
    <w:rPr>
      <w:sz w:val="20"/>
      <w:szCs w:val="20"/>
    </w:rPr>
  </w:style>
  <w:style w:type="paragraph" w:styleId="CommentSubject">
    <w:name w:val="annotation subject"/>
    <w:basedOn w:val="CommentText"/>
    <w:next w:val="CommentText"/>
    <w:link w:val="CommentSubjectChar"/>
    <w:uiPriority w:val="99"/>
    <w:semiHidden/>
    <w:unhideWhenUsed/>
    <w:rsid w:val="000C3508"/>
    <w:rPr>
      <w:b/>
      <w:bCs/>
    </w:rPr>
  </w:style>
  <w:style w:type="character" w:customStyle="1" w:styleId="CommentSubjectChar">
    <w:name w:val="Comment Subject Char"/>
    <w:basedOn w:val="CommentTextChar"/>
    <w:link w:val="CommentSubject"/>
    <w:uiPriority w:val="99"/>
    <w:semiHidden/>
    <w:rsid w:val="000C35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5</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Matt</dc:creator>
  <cp:keywords/>
  <dc:description/>
  <cp:lastModifiedBy>Matthew Peterson</cp:lastModifiedBy>
  <cp:revision>6</cp:revision>
  <dcterms:created xsi:type="dcterms:W3CDTF">2026-03-26T13:30:00Z</dcterms:created>
  <dcterms:modified xsi:type="dcterms:W3CDTF">2026-08-03T20:41:00Z</dcterms:modified>
</cp:coreProperties>
</file>