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72"/>
          <w:szCs w:val="72"/>
        </w:rPr>
        <w:t xml:space="preserve">ACQUI</w:t>
      </w:r>
      <w:r>
        <w:rPr>
          <w:rFonts w:ascii="Arial" w:cs="Arial" w:eastAsia="Arial" w:hAnsi="Arial"/>
          <w:b/>
          <w:bCs/>
          <w:color w:val="3D8B7A"/>
          <w:sz w:val="72"/>
          <w:szCs w:val="72"/>
        </w:rPr>
        <w:t xml:space="preserve">PORTAL</w:t>
      </w:r>
    </w:p>
    <w:p>
      <w:pPr>
        <w:spacing w:before="100"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M&amp;A Intelligence Platform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INVESTMENT MEMORANDUM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3D8B7A"/>
          <w:sz w:val="56"/>
          <w:szCs w:val="56"/>
        </w:rPr>
        <w:t xml:space="preserve">Marietta HVAC Services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Marietta, Georgia</w:t>
      </w:r>
    </w:p>
    <w:p>
      <w:pPr>
        <w:spacing w:after="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8B7A"/>
                <w:sz w:val="36"/>
                <w:szCs w:val="36"/>
              </w:rPr>
              <w:t xml:space="preserve">$1,200,000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Asking Price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8B7A"/>
                <w:sz w:val="36"/>
                <w:szCs w:val="36"/>
              </w:rPr>
              <w:t xml:space="preserve">$385,000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Annual SDE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8B7A"/>
                <w:sz w:val="36"/>
                <w:szCs w:val="36"/>
              </w:rPr>
              <w:t xml:space="preserve">3.1x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SDE Multiple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8B7A"/>
                <w:sz w:val="36"/>
                <w:szCs w:val="36"/>
              </w:rPr>
              <w:t xml:space="preserve">84/100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AcquiPortal Score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Deal ID: AP-2026-00001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Generated: January 29,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Classification: CONFIDENTIAL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Investment Recommendation: STRONG BUY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Marietta HVAC Services represents an exceptional acquisition opportunity for a buyer seeking a well-established residential HVAC business with significant operational improvement potential through AI-driven automation.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company has operated profitably for 25 years under current ownership, maintaining strong customer relationships evidenced by a 4.7-star Google rating across 342 reviews. The owner, Robert Johnson (age 62), has no succession plan and is motivated to sell, creating favorable negotiating conditions for the buyer.</w:t>
      </w:r>
    </w:p>
    <w:p>
      <w:pPr>
        <w:pStyle w:val="Heading3"/>
      </w:pPr>
      <w:r>
        <w:t xml:space="preserve">Key Investment Highlights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Stable cash flows: $385,000 SDE with 21% margin on $1.8M revenue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Fair valuation: 3.1x SDE multiple within industry range (2.5x-4.0x)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AI upside: $265,000 annual value creation identified through automation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Motivated seller: Owner-operator age 62 with no succession plan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Strong debt capacity: DSCR of 3.18x supports SBA 7(a) financing</w:t>
      </w:r>
    </w:p>
    <w:p>
      <w:r>
        <w:br w:type="page"/>
      </w:r>
    </w:p>
    <w:p>
      <w:pPr>
        <w:pStyle w:val="Heading1"/>
      </w:pPr>
      <w:r>
        <w:t xml:space="preserve">2. Company Overview</w:t>
      </w:r>
    </w:p>
    <w:p>
      <w:pPr>
        <w:pStyle w:val="Heading2"/>
      </w:pPr>
      <w:r>
        <w:t xml:space="preserve">Business Description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Marietta HVAC Services is a full-service heating, ventilation, and air conditioning company serving residential customers in the northwest Atlanta metropolitan area. Founded in 2001, the company has built a reputation for quality technical work and fair pricing over its 25-year operating history.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Company Information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Legal Entity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Marietta HVAC Services, LLC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Year Founded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2001 (25 years)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Marietta, GA 30060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Employees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(8 technicians, 4 office)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Area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Marietta, Kennesaw, Roswell, Alpharetta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Fleet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service vehicles</w:t>
            </w:r>
          </w:p>
        </w:tc>
      </w:tr>
    </w:tbl>
    <w:p>
      <w:pPr>
        <w:pStyle w:val="Heading2"/>
        <w:spacing w:before="400"/>
      </w:pPr>
      <w:r>
        <w:t xml:space="preserve">Services Offered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Air conditioning repair, maintenance, and installation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Heating system repair, maintenance, and installation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Preventive maintenance agreements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Indoor air quality solutions</w:t>
      </w:r>
    </w:p>
    <w:p>
      <w:r>
        <w:br w:type="page"/>
      </w:r>
    </w:p>
    <w:p>
      <w:pPr>
        <w:pStyle w:val="Heading1"/>
      </w:pPr>
      <w:r>
        <w:t xml:space="preserve">3. Financial Analysis</w:t>
      </w:r>
    </w:p>
    <w:p>
      <w:pPr>
        <w:pStyle w:val="Heading2"/>
      </w:pPr>
      <w:r>
        <w:t xml:space="preserve">Historical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$1,720,000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$1,765,000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$1,810,000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$1,800,000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$722,000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$741,000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$760,000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$756,000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Income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$168,000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$175,000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$182,000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$180,000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 Discretionary Earnings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$365,000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$372,000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$380,000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$385,000</w:t>
            </w:r>
          </w:p>
        </w:tc>
      </w:tr>
    </w:tbl>
    <w:p>
      <w:pPr>
        <w:pStyle w:val="Heading2"/>
        <w:spacing w:before="400"/>
      </w:pPr>
      <w:r>
        <w:t xml:space="preserve">SDE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 Income (TTM)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$180,000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 Owner Salary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$120,000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 Owner Health Insurance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$24,000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 Owner Vehicle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$18,000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 Depreciation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$35,000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 Interest Expense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$8,000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Seller Discretionary Earnings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$385,000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Valuation Analysis</w:t>
      </w:r>
    </w:p>
    <w:p>
      <w:pPr>
        <w:pStyle w:val="Heading2"/>
      </w:pPr>
      <w:r>
        <w:t xml:space="preserve">Multiple Analysis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asking price of $1,200,000 represents a 3.12x multiple on trailing twelve-month SDE of $385,000. This falls within the normal range for HVAC businesses in the Southeast United States.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This Deal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Industry 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 / SDE Multiple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3.12x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2.5x - 4.0x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 / EBITDA Multiple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3.75x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3.0x - 5.0x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Price / Revenue Multiple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0.67x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0.5x - 1.0x</w:t>
            </w:r>
          </w:p>
        </w:tc>
      </w:tr>
    </w:tbl>
    <w:p>
      <w:pPr>
        <w:pStyle w:val="Heading2"/>
        <w:spacing w:before="400"/>
      </w:pPr>
      <w:r>
        <w:t xml:space="preserve">Suggested Offer Range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Based on comparable transactions and the identified operational improvements, we recommend an initial offer in the range of $1,000,000 to $1,150,000, structured with seller financing to align incentives during the transition period.</w:t>
      </w:r>
    </w:p>
    <w:p>
      <w:r>
        <w:br w:type="page"/>
      </w:r>
    </w:p>
    <w:p>
      <w:pPr>
        <w:pStyle w:val="Heading1"/>
      </w:pPr>
      <w:r>
        <w:t xml:space="preserve">5. AI Opportunity Assessment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AcquiPortal's AI Opportunity Analyst identified significant value creation potential through operational automation. The current technology stack is minimal, creating substantial upside for a technology-forward acquirer.</w:t>
      </w:r>
    </w:p>
    <w:p>
      <w:pPr>
        <w:pStyle w:val="Heading2"/>
      </w:pPr>
      <w:r>
        <w:t xml:space="preserve">AI Opportunity Score: 82/100</w:t>
      </w:r>
    </w:p>
    <w:p>
      <w:pPr>
        <w:pStyle w:val="Heading3"/>
      </w:pPr>
      <w:r>
        <w:t xml:space="preserve">Opportunity #1: AI Voice Agent for Inbound Calls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Current State: 1 receptionist handles ~50 calls/day, 20% go to voicemail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Proposed Solution: 24/7 AI voice agent (Vapi/Bland AI) for scheduling and FAQs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Implementation Cost: $8,000 - $15,000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Projected Annual Benefit: $79,000 (revenue capture + cost savings)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Payback Period: 2 months</w:t>
      </w:r>
    </w:p>
    <w:p>
      <w:pPr>
        <w:pStyle w:val="Heading3"/>
      </w:pPr>
      <w:r>
        <w:t xml:space="preserve">Opportunity #2: AI-Optimized Routing &amp; Dispatch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Current State: Manual whiteboard scheduling, ~35% windshield time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Proposed Solution: ServiceTitan or Housecall Pro with AI routing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Implementation Cost: $15,000 - $25,000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Projected Annual Benefit: $168,000 (additional jobs + fuel savings)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Payback Period: 2 months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 Annual Value Creation (Year 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$265,000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Risk Assessment</w:t>
      </w:r>
    </w:p>
    <w:p>
      <w:pPr>
        <w:pStyle w:val="Heading2"/>
      </w:pPr>
      <w:r>
        <w:t xml:space="preserve">Identified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 Strategy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Person 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22"/>
                <w:szCs w:val="22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Negotiate 12-month transition; earnout tied to customer retention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Formal Systems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22"/>
                <w:szCs w:val="22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 field service software in first 90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Technician Retention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22"/>
                <w:szCs w:val="22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Retention bonuses; clear communication of growth plans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Recommended Next Steps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Send introduction email to listing broker (draft included)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last 3 years P&amp;L statements and tax returns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Schedule initial discovery call with seller/broker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Conduct site visit and meet key employees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Submit Letter of Intent with proposed deal structure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Begin SBA loan pre-qualification process</w:t>
      </w:r>
    </w:p>
    <w:p>
      <w:pPr>
        <w:spacing w:before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— End of Investment Memorandum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333333"/>
        <w:sz w:val="18"/>
        <w:szCs w:val="18"/>
      </w:rPr>
      <w:t xml:space="preserve">ACQUI</w:t>
    </w:r>
    <w:r>
      <w:rPr>
        <w:rFonts w:ascii="Arial" w:cs="Arial" w:eastAsia="Arial" w:hAnsi="Arial"/>
        <w:b/>
        <w:bCs/>
        <w:color w:val="3D8B7A"/>
        <w:sz w:val="18"/>
        <w:szCs w:val="18"/>
      </w:rPr>
      <w:t xml:space="preserve">PORTAL</w:t>
    </w:r>
    <w:r>
      <w:rPr>
        <w:rFonts w:ascii="Arial" w:cs="Arial" w:eastAsia="Arial" w:hAnsi="Arial"/>
        <w:color w:val="666666"/>
        <w:sz w:val="18"/>
        <w:szCs w:val="18"/>
      </w:rPr>
      <w:t xml:space="preserve">  |  Investment Memo  |  AP-2026-00001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3D8B7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2026-01-29T18:49:26.853Z</dcterms:created>
  <dcterms:modified xsi:type="dcterms:W3CDTF">2026-01-29T18:49:26.854Z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