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Channel Strategy</w:t>
      </w:r>
    </w:p>
    <w:p>
      <w:pPr>
        <w:spacing w:after="120"/>
      </w:pPr>
      <w:r>
        <w:t xml:space="preserve">Our channel strategy takes its strategic direction from Einhorn&amp;#x2019;s overall marketing objectives and operates on a test-validate-scale framework across all paid channels. Rather than deploying resources uniformly, we systematically test each channel and practice group combination, validate performance against your CPA and ROI targets, and scale aggressively into the highest-performing segments.</w:t>
      </w:r>
    </w:p>
    <w:p>
      <w:pPr>
        <w:pStyle w:val="Heading2"/>
      </w:pPr>
      <w:r>
        <w:t xml:space="preserve">Search</w:t>
      </w:r>
    </w:p>
    <w:p>
      <w:pPr>
        <w:spacing w:after="120"/>
      </w:pPr>
      <w:r>
        <w:t xml:space="preserve">We will test into the keywords that matter most for each practice group, measuring performance by Cost Per Conversion. Rather than a monolithic search campaign, each practice group operates as its own campaign unit, allowing us to optimize messaging, landing pages, and bids independently based on practice-specific client acquisition costs and conversion patterns.</w:t>
      </w:r>
    </w:p>
    <w:p>
      <w:pPr>
        <w:spacing w:after="240"/>
      </w:pPr>
      <w:r>
        <w:t xml:space="preserve">Initial testing will identify which practice groups have the lowest CPA and highest intent. Once validated, we scale spend into those practice groups and keyword sets, while pulling back from underperformers. This approach ensures search budget is directed toward the practice areas where it drives the strongest return.</w:t>
      </w:r>
    </w:p>
    <w:p>
      <w:pPr>
        <w:pStyle w:val="Heading2"/>
      </w:pPr>
      <w:r>
        <w:t xml:space="preserve">Paid Display</w:t>
      </w:r>
    </w:p>
    <w:p>
      <w:pPr>
        <w:spacing w:after="120"/>
      </w:pPr>
      <w:r>
        <w:t xml:space="preserve">Display testing focuses on identifying the channel mix and placements that deliver ROI. This includes testing across lawyer and legal service listing sites where prospects actively research counsel, as well as video placements for retargeting engaged prospects. We measure each placement and channel against your target CPA, keep what works, and eliminate what doesn&amp;#x2019;t.</w:t>
      </w:r>
    </w:p>
    <w:p>
      <w:pPr>
        <w:spacing w:after="240"/>
      </w:pPr>
      <w:r>
        <w:t xml:space="preserve">The goal is to determine the optimal mix of placements and channels, then scale into the segments that deliver repeatable, profitable customer acquisition.</w:t>
      </w:r>
    </w:p>
    <w:p>
      <w:pPr>
        <w:pStyle w:val="Heading2"/>
      </w:pPr>
      <w:r>
        <w:t xml:space="preserve">Social Paid</w:t>
      </w:r>
    </w:p>
    <w:p>
      <w:pPr>
        <w:spacing w:after="240"/>
      </w:pPr>
      <w:r>
        <w:t xml:space="preserve">Social paid operates primarily as a high-funnel brand-building and retargeting vehicle. We retarget people who engage with your organic content, keeping Einhorn top-of-mind as they move through their decision journey. This is coordinated with your organic strategy to ensure paid amplification reaches warm audiences, driving both brand recall and conversion opportunity.</w:t>
      </w:r>
    </w:p>
    <w:p>
      <w:pPr>
        <w:pStyle w:val="Heading2"/>
      </w:pPr>
      <w:r>
        <w:t xml:space="preserve">SEO and Geo Strategy</w:t>
      </w:r>
    </w:p>
    <w:p>
      <w:pPr>
        <w:spacing w:after="120"/>
      </w:pPr>
      <w:r>
        <w:t xml:space="preserve">We build a content machine that creates authoritative, practice-specific content and distributes it across the critical surfaces where prospects and referral sources discover you: your website, Google Business Profile, syndication partners, and paid distribution channels. This integrated distribution amplifies each piece of content and builds domain authority.</w:t>
      </w:r>
    </w:p>
    <w:p>
      <w:pPr>
        <w:spacing w:after="240"/>
      </w:pPr>
      <w:r>
        <w:t xml:space="preserve">Once the content machine is established and performing, we layer in an earned media strategy&amp;#x2014;identifying backlink opportunities from relevant legal directories, bar associations, and authoritative legal publications that strengthen your overall domain authority and search visibility.</w:t>
      </w:r>
    </w:p>
    <w:p>
      <w:pPr>
        <w:pStyle w:val="Heading2"/>
      </w:pPr>
      <w:r>
        <w:t xml:space="preserve">Timeline and Phasing</w:t>
      </w:r>
    </w:p>
    <w:p>
      <w:pPr>
        <w:spacing w:after="60"/>
      </w:pPr>
      <w:r>
        <w:t xml:space="preserve">Months 1&amp;#x2013;2: Testing across all channels and practice groups</w:t>
      </w:r>
    </w:p>
    <w:p>
      <w:pPr>
        <w:spacing w:after="60"/>
      </w:pPr>
      <w:r>
        <w:t xml:space="preserve">Months 2&amp;#x2013;3: Validation and optimization of top performers</w:t>
      </w:r>
    </w:p>
    <w:p>
      <w:r>
        <w:t xml:space="preserve">Month 3+: Scale into proven channels and segments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2026-04-30T19:25:31.329Z</dcterms:created>
  <dcterms:modified xsi:type="dcterms:W3CDTF">2026-04-30T19:25:31.329Z</dcterms:modified>
</cp:coreProperties>
</file>

<file path=docProps/custom.xml><?xml version="1.0" encoding="utf-8"?>
<Properties xmlns="http://schemas.openxmlformats.org/officeDocument/2006/custom-properties" xmlns:vt="http://schemas.openxmlformats.org/officeDocument/2006/docPropsVTypes"/>
</file>