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79"/>
          <w:sz w:val="48"/>
          <w:szCs w:val="48"/>
        </w:rPr>
        <w:t xml:space="preserve">SCHEDULES</w:t>
      </w:r>
    </w:p>
    <w:p>
      <w:pPr>
        <w:spacing w:after="400"/>
        <w:jc w:val="center"/>
      </w:pPr>
      <w:r>
        <w:rPr>
          <w:color w:val="444444"/>
          <w:sz w:val="28"/>
          <w:szCs w:val="28"/>
        </w:rPr>
        <w:t xml:space="preserve">to Asset Purchase Agreement</w:t>
      </w:r>
    </w:p>
    <w:p>
      <w:pPr>
        <w:spacing w:after="80"/>
        <w:jc w:val="center"/>
      </w:pPr>
      <w:r>
        <w:rPr>
          <w:b/>
          <w:bCs/>
          <w:sz w:val="22"/>
          <w:szCs w:val="22"/>
        </w:rPr>
        <w:t xml:space="preserve">BUYER: Prospect Local Media LLC, d/b/a Renna Media</w:t>
      </w:r>
    </w:p>
    <w:p>
      <w:pPr>
        <w:spacing w:after="80"/>
        <w:jc w:val="center"/>
      </w:pPr>
      <w:r>
        <w:rPr>
          <w:b/>
          <w:bCs/>
          <w:sz w:val="22"/>
          <w:szCs w:val="22"/>
        </w:rPr>
        <w:t xml:space="preserve">SELLERS: Renna Media LLC and Joseph Renna</w:t>
      </w:r>
    </w:p>
    <w:p>
      <w:pPr>
        <w:spacing w:after="600" w:before="400"/>
        <w:jc w:val="center"/>
      </w:pPr>
      <w:r>
        <w:rPr>
          <w:i/>
          <w:iCs/>
          <w:color w:val="666666"/>
          <w:sz w:val="20"/>
          <w:szCs w:val="20"/>
        </w:rPr>
        <w:t xml:space="preserve">DRAFT —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r>
              <w:rPr>
                <w:i/>
                <w:iCs/>
                <w:color w:val="666666"/>
                <w:sz w:val="18"/>
                <w:szCs w:val="18"/>
              </w:rPr>
              <w:t xml:space="preserve">This cover and every schedule status line are working drafts for Matt's internal use while assembling exhibits with counsel. Confirm final schedule numbering and content against the executed APA before signature.</w:t>
            </w:r>
          </w:p>
        </w:tc>
      </w:tr>
    </w:tbl>
    <w:p>
      <w:pPr>
        <w:spacing w:after="200" w:before="500"/>
      </w:pPr>
      <w:r>
        <w:rPr>
          <w:b/>
          <w:bCs/>
          <w:color w:val="1F4E79"/>
          <w:sz w:val="24"/>
          <w:szCs w:val="24"/>
        </w:rPr>
        <w:t xml:space="preserve">Index of Schedules</w:t>
      </w:r>
    </w:p>
    <w:p>
      <w:pPr>
        <w:tabs>
          <w:tab w:val="right" w:pos="9026"/>
        </w:tabs>
        <w:spacing w:after="100"/>
      </w:pPr>
      <w:r>
        <w:rPr>
          <w:b/>
          <w:bCs/>
          <w:sz w:val="20"/>
          <w:szCs w:val="20"/>
        </w:rPr>
        <w:t xml:space="preserve">Schedule 1.2(c)</w:t>
      </w:r>
      <w:r>
        <w:rPr>
          <w:sz w:val="20"/>
          <w:szCs w:val="20"/>
        </w:rPr>
        <w:t xml:space="preserve">    Email Addresses, Domain Names, and Social Media Accounts</w:t>
      </w:r>
    </w:p>
    <w:p>
      <w:pPr>
        <w:tabs>
          <w:tab w:val="right" w:pos="9026"/>
        </w:tabs>
        <w:spacing w:after="100"/>
      </w:pPr>
      <w:r>
        <w:rPr>
          <w:b/>
          <w:bCs/>
          <w:sz w:val="20"/>
          <w:szCs w:val="20"/>
        </w:rPr>
        <w:t xml:space="preserve">Schedule 1.2(e)</w:t>
      </w:r>
      <w:r>
        <w:rPr>
          <w:sz w:val="20"/>
          <w:szCs w:val="20"/>
        </w:rPr>
        <w:t xml:space="preserve">    Contracts and Leases</w:t>
      </w:r>
    </w:p>
    <w:p>
      <w:pPr>
        <w:tabs>
          <w:tab w:val="right" w:pos="9026"/>
        </w:tabs>
        <w:spacing w:after="100"/>
      </w:pPr>
      <w:r>
        <w:rPr>
          <w:b/>
          <w:bCs/>
          <w:sz w:val="20"/>
          <w:szCs w:val="20"/>
        </w:rPr>
        <w:t xml:space="preserve">Schedule 1.2(g)</w:t>
      </w:r>
      <w:r>
        <w:rPr>
          <w:sz w:val="20"/>
          <w:szCs w:val="20"/>
        </w:rPr>
        <w:t xml:space="preserve">    Current Customers</w:t>
      </w:r>
    </w:p>
    <w:p>
      <w:pPr>
        <w:tabs>
          <w:tab w:val="right" w:pos="9026"/>
        </w:tabs>
        <w:spacing w:after="100"/>
      </w:pPr>
      <w:r>
        <w:rPr>
          <w:b/>
          <w:bCs/>
          <w:sz w:val="20"/>
          <w:szCs w:val="20"/>
        </w:rPr>
        <w:t xml:space="preserve">Schedule 1.3(d)</w:t>
      </w:r>
      <w:r>
        <w:rPr>
          <w:sz w:val="20"/>
          <w:szCs w:val="20"/>
        </w:rPr>
        <w:t xml:space="preserve">    Personal Property of Joseph Renna Excluded from Sale</w:t>
      </w:r>
    </w:p>
    <w:p>
      <w:pPr>
        <w:tabs>
          <w:tab w:val="right" w:pos="9026"/>
        </w:tabs>
        <w:spacing w:after="100"/>
      </w:pPr>
      <w:r>
        <w:rPr>
          <w:b/>
          <w:bCs/>
          <w:sz w:val="20"/>
          <w:szCs w:val="20"/>
        </w:rPr>
        <w:t xml:space="preserve">Schedule 1.4(a)</w:t>
      </w:r>
      <w:r>
        <w:rPr>
          <w:sz w:val="20"/>
          <w:szCs w:val="20"/>
        </w:rPr>
        <w:t xml:space="preserve">    Assumed Liabilities</w:t>
      </w:r>
    </w:p>
    <w:p>
      <w:pPr>
        <w:tabs>
          <w:tab w:val="right" w:pos="9026"/>
        </w:tabs>
        <w:spacing w:after="100"/>
      </w:pPr>
      <w:r>
        <w:rPr>
          <w:b/>
          <w:bCs/>
          <w:sz w:val="20"/>
          <w:szCs w:val="20"/>
        </w:rPr>
        <w:t xml:space="preserve">Schedule 1.5(a)</w:t>
      </w:r>
      <w:r>
        <w:rPr>
          <w:sz w:val="20"/>
          <w:szCs w:val="20"/>
        </w:rPr>
        <w:t xml:space="preserve">    Accounts Receivable for Unfulfilled Work</w:t>
      </w:r>
    </w:p>
    <w:p>
      <w:pPr>
        <w:tabs>
          <w:tab w:val="right" w:pos="9026"/>
        </w:tabs>
        <w:spacing w:after="100"/>
      </w:pPr>
      <w:r>
        <w:rPr>
          <w:b/>
          <w:bCs/>
          <w:sz w:val="20"/>
          <w:szCs w:val="20"/>
        </w:rPr>
        <w:t xml:space="preserve">Schedule 1.5(b)</w:t>
      </w:r>
      <w:r>
        <w:rPr>
          <w:sz w:val="20"/>
          <w:szCs w:val="20"/>
        </w:rPr>
        <w:t xml:space="preserve">    Prepaid / Unearned Advertising Revenue</w:t>
      </w:r>
    </w:p>
    <w:p>
      <w:pPr>
        <w:tabs>
          <w:tab w:val="right" w:pos="9026"/>
        </w:tabs>
        <w:spacing w:after="100"/>
      </w:pPr>
      <w:r>
        <w:rPr>
          <w:b/>
          <w:bCs/>
          <w:sz w:val="20"/>
          <w:szCs w:val="20"/>
        </w:rPr>
        <w:t xml:space="preserve">Schedule 3.1(d)</w:t>
      </w:r>
      <w:r>
        <w:rPr>
          <w:sz w:val="20"/>
          <w:szCs w:val="20"/>
        </w:rPr>
        <w:t xml:space="preserve">    Existing Business Debts of Seller</w:t>
      </w:r>
    </w:p>
    <w:p>
      <w:pPr>
        <w:tabs>
          <w:tab w:val="right" w:pos="9026"/>
        </w:tabs>
        <w:spacing w:after="100"/>
      </w:pPr>
      <w:r>
        <w:rPr>
          <w:b/>
          <w:bCs/>
          <w:sz w:val="20"/>
          <w:szCs w:val="20"/>
        </w:rPr>
        <w:t xml:space="preserve">Schedule 4.6</w:t>
      </w:r>
      <w:r>
        <w:rPr>
          <w:sz w:val="20"/>
          <w:szCs w:val="20"/>
        </w:rPr>
        <w:t xml:space="preserve">    Existing Litigation</w:t>
      </w:r>
    </w:p>
    <w:p>
      <w:pPr>
        <w:tabs>
          <w:tab w:val="right" w:pos="9026"/>
        </w:tabs>
        <w:spacing w:after="100"/>
      </w:pPr>
      <w:r>
        <w:rPr>
          <w:b/>
          <w:bCs/>
          <w:sz w:val="20"/>
          <w:szCs w:val="20"/>
        </w:rPr>
        <w:t xml:space="preserve">Schedule 4.7</w:t>
      </w:r>
      <w:r>
        <w:rPr>
          <w:sz w:val="20"/>
          <w:szCs w:val="20"/>
        </w:rPr>
        <w:t xml:space="preserve">    Trade Names</w:t>
      </w:r>
    </w:p>
    <w:p>
      <w:pPr>
        <w:tabs>
          <w:tab w:val="right" w:pos="9026"/>
        </w:tabs>
        <w:spacing w:after="100"/>
      </w:pPr>
      <w:r>
        <w:rPr>
          <w:b/>
          <w:bCs/>
          <w:sz w:val="20"/>
          <w:szCs w:val="20"/>
        </w:rPr>
        <w:t xml:space="preserve">Schedule 4.10</w:t>
      </w:r>
      <w:r>
        <w:rPr>
          <w:sz w:val="20"/>
          <w:szCs w:val="20"/>
        </w:rPr>
        <w:t xml:space="preserve">    Seller's Financial Statements</w:t>
      </w:r>
    </w:p>
    <w:p>
      <w:pPr>
        <w:tabs>
          <w:tab w:val="right" w:pos="9026"/>
        </w:tabs>
        <w:spacing w:after="100"/>
      </w:pPr>
      <w:r>
        <w:rPr>
          <w:b/>
          <w:bCs/>
          <w:sz w:val="20"/>
          <w:szCs w:val="20"/>
        </w:rPr>
        <w:t xml:space="preserve">Schedule 4.17(b)</w:t>
      </w:r>
      <w:r>
        <w:rPr>
          <w:sz w:val="20"/>
          <w:szCs w:val="20"/>
        </w:rPr>
        <w:t xml:space="preserve">    Map of Renna Media Publishing Territories</w:t>
      </w:r>
    </w:p>
    <w:p>
      <w:pPr>
        <w:pageBreakBefore/>
        <w:spacing w:after="40"/>
      </w:pPr>
      <w:r>
        <w:rPr>
          <w:b/>
          <w:bCs/>
          <w:color w:val="1F4E79"/>
          <w:sz w:val="22"/>
          <w:szCs w:val="22"/>
        </w:rPr>
        <w:t xml:space="preserve">Schedule 1.2(c)</w:t>
      </w:r>
    </w:p>
    <w:p>
      <w:pPr>
        <w:pStyle w:val="Heading1"/>
        <w:spacing w:after="160"/>
      </w:pPr>
      <w:r>
        <w:t xml:space="preserve">Email Addresses, Domain Names, and Social Media Accounts</w:t>
      </w:r>
    </w:p>
    <w:p>
      <w:pPr>
        <w:pBdr>
          <w:bottom w:val="single" w:color="DDDDDD" w:sz="4" w:space="4"/>
        </w:pBdr>
        <w:spacing w:after="200"/>
      </w:pPr>
      <w:r>
        <w:rPr>
          <w:b/>
          <w:bCs/>
          <w:color w:val="B45309"/>
          <w:sz w:val="18"/>
          <w:szCs w:val="18"/>
        </w:rPr>
        <w:t xml:space="preserve">STATUS: </w:t>
      </w:r>
      <w:r>
        <w:rPr>
          <w:i/>
          <w:iCs/>
          <w:color w:val="666666"/>
          <w:sz w:val="18"/>
          <w:szCs w:val="18"/>
        </w:rPr>
        <w:t xml:space="preserve">Partially drafted from project records. Confirm full list against Joe's digital asset workbook before finalizing.</w:t>
      </w:r>
    </w:p>
    <w:p>
      <w:pPr>
        <w:spacing w:after="120"/>
      </w:pPr>
      <w:r>
        <w:rPr>
          <w:b w:val="false"/>
          <w:bCs w:val="false"/>
          <w:i w:val="false"/>
          <w:iCs w:val="false"/>
          <w:sz w:val="20"/>
          <w:szCs w:val="20"/>
        </w:rPr>
        <w:t xml:space="preserve">The following digital assets are used in the operation of the Business and are included in the sale, subject to confirmation of ownership and transferability for each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2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Asset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Registrar / Platform</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Transfer 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rennamedia.com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Primary domain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GoDaddy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Confirmed – transfers to Buyer</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[additional ~20 redirect domains]</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Redirect domains</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GoDaddy (~2/3 owned by Joe)</w:t>
            </w:r>
          </w:p>
        </w:tc>
        <w:tc>
          <w:tcPr>
            <w:tcW w:type="dxa" w:w="2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Needs full list + ownership confirmation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joerenna@rennamedia.com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Business 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rennamedia.com domain host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Needs confirmation</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Constant Contact account</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Email marketing / list</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Constant Contact</w:t>
            </w:r>
          </w:p>
        </w:tc>
        <w:tc>
          <w:tcPr>
            <w:tcW w:type="dxa" w:w="2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Confirmed – expected to transfer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Facebook pages (per town, incomplete coverage)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Social media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Meta / Facebook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Needs full page list + admin access</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[Instagram / X / other accounts, if any]</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Social media</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w:t>
            </w:r>
          </w:p>
        </w:tc>
        <w:tc>
          <w:tcPr>
            <w:tcW w:type="dxa" w:w="2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Needs confirmation Joe operates any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7" w:val="clear"/>
            <w:tcMar>
              <w:top w:type="dxa" w:w="120"/>
              <w:left w:type="dxa" w:w="200"/>
              <w:bottom w:type="dxa" w:w="120"/>
              <w:right w:type="dxa" w:w="200"/>
            </w:tcMar>
          </w:tcPr>
          <w:p>
            <w:pPr>
              <w:spacing w:after="80" w:before="120"/>
            </w:pPr>
            <w:r>
              <w:rPr>
                <w:b/>
                <w:bCs/>
                <w:color w:val="B45309"/>
                <w:sz w:val="20"/>
                <w:szCs w:val="20"/>
              </w:rPr>
              <w:t xml:space="preserve">Needed to complete this schedule:</w:t>
            </w:r>
          </w:p>
          <w:p>
            <w:pPr>
              <w:pStyle w:val="ListParagraph"/>
              <w:numPr>
                <w:ilvl w:val="0"/>
                <w:numId w:val="2"/>
              </w:numPr>
              <w:spacing w:after="60"/>
            </w:pPr>
            <w:r>
              <w:rPr>
                <w:sz w:val="20"/>
                <w:szCs w:val="20"/>
              </w:rPr>
              <w:t xml:space="preserve">Complete list of the ~20 redirect domains, which are owned outright vs. leased/parked</w:t>
            </w:r>
          </w:p>
          <w:p>
            <w:pPr>
              <w:pStyle w:val="ListParagraph"/>
              <w:numPr>
                <w:ilvl w:val="0"/>
                <w:numId w:val="2"/>
              </w:numPr>
              <w:spacing w:after="60"/>
            </w:pPr>
            <w:r>
              <w:rPr>
                <w:sz w:val="20"/>
                <w:szCs w:val="20"/>
              </w:rPr>
              <w:t xml:space="preserve">Full roster of town-level Facebook pages with admin access handed to Buyer</w:t>
            </w:r>
          </w:p>
          <w:p>
            <w:pPr>
              <w:pStyle w:val="ListParagraph"/>
              <w:numPr>
                <w:ilvl w:val="0"/>
                <w:numId w:val="2"/>
              </w:numPr>
              <w:spacing w:after="60"/>
            </w:pPr>
            <w:r>
              <w:rPr>
                <w:sz w:val="20"/>
                <w:szCs w:val="20"/>
              </w:rPr>
              <w:t xml:space="preserve">Confirmation of any Instagram, X, or other social accounts</w:t>
            </w:r>
          </w:p>
          <w:p>
            <w:pPr>
              <w:pStyle w:val="ListParagraph"/>
              <w:numPr>
                <w:ilvl w:val="0"/>
                <w:numId w:val="2"/>
              </w:numPr>
              <w:spacing w:after="60"/>
            </w:pPr>
            <w:r>
              <w:rPr>
                <w:sz w:val="20"/>
                <w:szCs w:val="20"/>
              </w:rPr>
              <w:t xml:space="preserve">GoDaddy account transfer mechanics (account transfer vs. individual domain push)</w:t>
            </w:r>
          </w:p>
          <w:p>
            <w:pPr>
              <w:pStyle w:val="ListParagraph"/>
              <w:numPr>
                <w:ilvl w:val="0"/>
                <w:numId w:val="2"/>
              </w:numPr>
              <w:spacing w:after="60"/>
            </w:pPr>
            <w:r>
              <w:rPr>
                <w:sz w:val="20"/>
                <w:szCs w:val="20"/>
              </w:rPr>
              <w:t xml:space="preserve">Constant Contact license terms: exclusive vs. non-exclusive, monthly cost, whether it survives an ownership change</w:t>
            </w:r>
          </w:p>
        </w:tc>
      </w:tr>
    </w:tbl>
    <w:p>
      <w:pPr>
        <w:pageBreakBefore/>
        <w:spacing w:after="40"/>
      </w:pPr>
      <w:r>
        <w:rPr>
          <w:b/>
          <w:bCs/>
          <w:color w:val="1F4E79"/>
          <w:sz w:val="22"/>
          <w:szCs w:val="22"/>
        </w:rPr>
        <w:t xml:space="preserve">Schedule 1.2(e)</w:t>
      </w:r>
    </w:p>
    <w:p>
      <w:pPr>
        <w:pStyle w:val="Heading1"/>
        <w:spacing w:after="160"/>
      </w:pPr>
      <w:r>
        <w:t xml:space="preserve">Contracts and Leases</w:t>
      </w:r>
    </w:p>
    <w:p>
      <w:pPr>
        <w:pBdr>
          <w:bottom w:val="single" w:color="DDDDDD" w:sz="4" w:space="4"/>
        </w:pBdr>
        <w:spacing w:after="200"/>
      </w:pPr>
      <w:r>
        <w:rPr>
          <w:b/>
          <w:bCs/>
          <w:color w:val="B45309"/>
          <w:sz w:val="18"/>
          <w:szCs w:val="18"/>
        </w:rPr>
        <w:t xml:space="preserve">STATUS: </w:t>
      </w:r>
      <w:r>
        <w:rPr>
          <w:i/>
          <w:iCs/>
          <w:color w:val="666666"/>
          <w:sz w:val="18"/>
          <w:szCs w:val="18"/>
        </w:rPr>
        <w:t xml:space="preserve">Mostly known: business runs on handshake vendor relationships, no leases. Confirm printer/software specifics before finalizing.</w:t>
      </w:r>
    </w:p>
    <w:p>
      <w:pPr>
        <w:spacing w:after="120"/>
      </w:pPr>
      <w:r>
        <w:rPr>
          <w:b w:val="false"/>
          <w:bCs w:val="false"/>
          <w:i w:val="false"/>
          <w:iCs w:val="false"/>
          <w:sz w:val="20"/>
          <w:szCs w:val="20"/>
        </w:rPr>
        <w:t xml:space="preserve">Seller represents the Business has no real property leases. Vendor relationships and licensed software known as of this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900"/>
        <w:gridCol w:w="28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Counterparty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Nature</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Written Contract?</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Engle Printing and Publishing Company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Primary printer (black &amp; white)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No – handshake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Confirm pricing terms, continuity post-closing</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[Color insert printer – name TBD]</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Second printer; delivers to Engle for color inserts</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Unknown</w:t>
            </w:r>
          </w:p>
        </w:tc>
        <w:tc>
          <w:tcPr>
            <w:tcW w:type="dxa" w:w="2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Get name, terms, relationship to Engle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USPS – Lancaster PA Permit #1325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Postal permit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N/A – permit, not contract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Belongs to Joe personally; likely non-transferable, Buyer needs own permit</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Constant Contact</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Licensed software (email marketing)</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Yes – standard SaaS terms</w:t>
            </w:r>
          </w:p>
        </w:tc>
        <w:tc>
          <w:tcPr>
            <w:tcW w:type="dxa" w:w="2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Confirm exclusivity, cost, transfer on ownership 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Real property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Office / warehouse lease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None – home-based business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No lease exists to schedule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7" w:val="clear"/>
            <w:tcMar>
              <w:top w:type="dxa" w:w="120"/>
              <w:left w:type="dxa" w:w="200"/>
              <w:bottom w:type="dxa" w:w="120"/>
              <w:right w:type="dxa" w:w="200"/>
            </w:tcMar>
          </w:tcPr>
          <w:p>
            <w:pPr>
              <w:spacing w:after="80" w:before="120"/>
            </w:pPr>
            <w:r>
              <w:rPr>
                <w:b/>
                <w:bCs/>
                <w:color w:val="B45309"/>
                <w:sz w:val="20"/>
                <w:szCs w:val="20"/>
              </w:rPr>
              <w:t xml:space="preserve">Needed to complete this schedule:</w:t>
            </w:r>
          </w:p>
          <w:p>
            <w:pPr>
              <w:pStyle w:val="ListParagraph"/>
              <w:numPr>
                <w:ilvl w:val="0"/>
                <w:numId w:val="2"/>
              </w:numPr>
              <w:spacing w:after="60"/>
            </w:pPr>
            <w:r>
              <w:rPr>
                <w:sz w:val="20"/>
                <w:szCs w:val="20"/>
              </w:rPr>
              <w:t xml:space="preserve">Name and terms for the second (color insert) printer</w:t>
            </w:r>
          </w:p>
          <w:p>
            <w:pPr>
              <w:pStyle w:val="ListParagraph"/>
              <w:numPr>
                <w:ilvl w:val="0"/>
                <w:numId w:val="2"/>
              </w:numPr>
              <w:spacing w:after="60"/>
            </w:pPr>
            <w:r>
              <w:rPr>
                <w:sz w:val="20"/>
                <w:szCs w:val="20"/>
              </w:rPr>
              <w:t xml:space="preserve">Written confirmation from Engle on pricing continuity after closing</w:t>
            </w:r>
          </w:p>
          <w:p>
            <w:pPr>
              <w:pStyle w:val="ListParagraph"/>
              <w:numPr>
                <w:ilvl w:val="0"/>
                <w:numId w:val="2"/>
              </w:numPr>
              <w:spacing w:after="60"/>
            </w:pPr>
            <w:r>
              <w:rPr>
                <w:sz w:val="20"/>
                <w:szCs w:val="20"/>
              </w:rPr>
              <w:t xml:space="preserve">Answer on USPS permit #1325 transferability (David/Brian follow-up)</w:t>
            </w:r>
          </w:p>
          <w:p>
            <w:pPr>
              <w:pStyle w:val="ListParagraph"/>
              <w:numPr>
                <w:ilvl w:val="0"/>
                <w:numId w:val="2"/>
              </w:numPr>
              <w:spacing w:after="60"/>
            </w:pPr>
            <w:r>
              <w:rPr>
                <w:sz w:val="20"/>
                <w:szCs w:val="20"/>
              </w:rPr>
              <w:t xml:space="preserve">Any other licensed software beyond Constant Contact (layout/design tools, accounting software, etc.)</w:t>
            </w:r>
          </w:p>
          <w:p>
            <w:pPr>
              <w:pStyle w:val="ListParagraph"/>
              <w:numPr>
                <w:ilvl w:val="0"/>
                <w:numId w:val="2"/>
              </w:numPr>
              <w:spacing w:after="60"/>
            </w:pPr>
            <w:r>
              <w:rPr>
                <w:sz w:val="20"/>
                <w:szCs w:val="20"/>
              </w:rPr>
              <w:t xml:space="preserve">Final pass with Joe for any unrecognized click-through agreements or auto-renewing subscriptions</w:t>
            </w:r>
          </w:p>
        </w:tc>
      </w:tr>
    </w:tbl>
    <w:p>
      <w:pPr>
        <w:pageBreakBefore/>
        <w:spacing w:after="40"/>
      </w:pPr>
      <w:r>
        <w:rPr>
          <w:b/>
          <w:bCs/>
          <w:color w:val="1F4E79"/>
          <w:sz w:val="22"/>
          <w:szCs w:val="22"/>
        </w:rPr>
        <w:t xml:space="preserve">Schedule 1.2(g)</w:t>
      </w:r>
    </w:p>
    <w:p>
      <w:pPr>
        <w:pStyle w:val="Heading1"/>
        <w:spacing w:after="160"/>
      </w:pPr>
      <w:r>
        <w:t xml:space="preserve">Current Customers</w:t>
      </w:r>
    </w:p>
    <w:p>
      <w:pPr>
        <w:pBdr>
          <w:bottom w:val="single" w:color="DDDDDD" w:sz="4" w:space="4"/>
        </w:pBdr>
        <w:spacing w:after="200"/>
      </w:pPr>
      <w:r>
        <w:rPr>
          <w:b/>
          <w:bCs/>
          <w:color w:val="B45309"/>
          <w:sz w:val="18"/>
          <w:szCs w:val="18"/>
        </w:rPr>
        <w:t xml:space="preserve">STATUS: </w:t>
      </w:r>
      <w:r>
        <w:rPr>
          <w:i/>
          <w:iCs/>
          <w:color w:val="666666"/>
          <w:sz w:val="18"/>
          <w:szCs w:val="18"/>
        </w:rPr>
        <w:t xml:space="preserve">Not yet populated. This schedule requires Joe's live customer export, which has not been delivered to the data room as of this draft.</w:t>
      </w:r>
    </w:p>
    <w:p>
      <w:pPr>
        <w:spacing w:after="120"/>
      </w:pPr>
      <w:r>
        <w:rPr>
          <w:b w:val="false"/>
          <w:bCs w:val="false"/>
          <w:i w:val="false"/>
          <w:iCs w:val="false"/>
          <w:sz w:val="20"/>
          <w:szCs w:val="20"/>
        </w:rPr>
        <w:t xml:space="preserve">Per the CIM, the Business serves approximately 120 active monthly advertisers (top 15% of advertisers represent approximately 60% of revenue). Independent phone-fingerprint sampling of January 2026 issues identified approximately 50–55 unique paid advertisers active that month, suggesting the 120 figure reflects a broader trailing/annualized count.</w:t>
      </w:r>
    </w:p>
    <w:p>
      <w:pPr>
        <w:spacing w:after="120"/>
      </w:pPr>
      <w:r>
        <w:rPr>
          <w:b w:val="false"/>
          <w:bCs w:val="false"/>
          <w:i w:val="false"/>
          <w:iCs w:val="false"/>
          <w:sz w:val="20"/>
          <w:szCs w:val="20"/>
        </w:rPr>
        <w:t xml:space="preserve">This schedule should ultimately attach the actual customer list — not the summary above — sourced from the seller's RM Ads master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7" w:val="clear"/>
            <w:tcMar>
              <w:top w:type="dxa" w:w="120"/>
              <w:left w:type="dxa" w:w="200"/>
              <w:bottom w:type="dxa" w:w="120"/>
              <w:right w:type="dxa" w:w="200"/>
            </w:tcMar>
          </w:tcPr>
          <w:p>
            <w:pPr>
              <w:spacing w:after="80" w:before="120"/>
            </w:pPr>
            <w:r>
              <w:rPr>
                <w:b/>
                <w:bCs/>
                <w:color w:val="B45309"/>
                <w:sz w:val="20"/>
                <w:szCs w:val="20"/>
              </w:rPr>
              <w:t xml:space="preserve">Needed to complete this schedule:</w:t>
            </w:r>
          </w:p>
          <w:p>
            <w:pPr>
              <w:pStyle w:val="ListParagraph"/>
              <w:numPr>
                <w:ilvl w:val="0"/>
                <w:numId w:val="2"/>
              </w:numPr>
              <w:spacing w:after="60"/>
            </w:pPr>
            <w:r>
              <w:rPr>
                <w:sz w:val="20"/>
                <w:szCs w:val="20"/>
              </w:rPr>
              <w:t xml:space="preserve">Anonymized (or full, if permitted) 2026 export from the seller's RM Ads Google Sheet: advertiser, towns, pricing, billing cadence, annual-billing flag, renewal/start date</w:t>
            </w:r>
          </w:p>
          <w:p>
            <w:pPr>
              <w:pStyle w:val="ListParagraph"/>
              <w:numPr>
                <w:ilvl w:val="0"/>
                <w:numId w:val="2"/>
              </w:numPr>
              <w:spacing w:after="60"/>
            </w:pPr>
            <w:r>
              <w:rPr>
                <w:sz w:val="20"/>
                <w:szCs w:val="20"/>
              </w:rPr>
              <w:t xml:space="preserve">Data dictionary for RM Ads notation (IN, PR, X, BC, MG, EX, etc.)</w:t>
            </w:r>
          </w:p>
          <w:p>
            <w:pPr>
              <w:pStyle w:val="ListParagraph"/>
              <w:numPr>
                <w:ilvl w:val="0"/>
                <w:numId w:val="2"/>
              </w:numPr>
              <w:spacing w:after="60"/>
            </w:pPr>
            <w:r>
              <w:rPr>
                <w:sz w:val="20"/>
                <w:szCs w:val="20"/>
              </w:rPr>
              <w:t xml:space="preserve">Decision on whether the schedule lists all current customers or only active-contract / annual-billing customers</w:t>
            </w:r>
          </w:p>
          <w:p>
            <w:pPr>
              <w:pStyle w:val="ListParagraph"/>
              <w:numPr>
                <w:ilvl w:val="0"/>
                <w:numId w:val="2"/>
              </w:numPr>
              <w:spacing w:after="60"/>
            </w:pPr>
            <w:r>
              <w:rPr>
                <w:sz w:val="20"/>
                <w:szCs w:val="20"/>
              </w:rPr>
              <w:t xml:space="preserve">Confirmation that the exported list matches the accrual reconciliation already reviewed with Cheryl</w:t>
            </w:r>
          </w:p>
        </w:tc>
      </w:tr>
    </w:tbl>
    <w:p>
      <w:pPr>
        <w:pageBreakBefore/>
        <w:spacing w:after="40"/>
      </w:pPr>
      <w:r>
        <w:rPr>
          <w:b/>
          <w:bCs/>
          <w:color w:val="1F4E79"/>
          <w:sz w:val="22"/>
          <w:szCs w:val="22"/>
        </w:rPr>
        <w:t xml:space="preserve">Schedule 1.3(d)</w:t>
      </w:r>
    </w:p>
    <w:p>
      <w:pPr>
        <w:pStyle w:val="Heading1"/>
        <w:spacing w:after="160"/>
      </w:pPr>
      <w:r>
        <w:t xml:space="preserve">Personal Property of Joseph Renna Excluded from Sale</w:t>
      </w:r>
    </w:p>
    <w:p>
      <w:pPr>
        <w:pBdr>
          <w:bottom w:val="single" w:color="DDDDDD" w:sz="4" w:space="4"/>
        </w:pBdr>
        <w:spacing w:after="200"/>
      </w:pPr>
      <w:r>
        <w:rPr>
          <w:b/>
          <w:bCs/>
          <w:color w:val="B45309"/>
          <w:sz w:val="18"/>
          <w:szCs w:val="18"/>
        </w:rPr>
        <w:t xml:space="preserve">STATUS: </w:t>
      </w:r>
      <w:r>
        <w:rPr>
          <w:i/>
          <w:iCs/>
          <w:color w:val="666666"/>
          <w:sz w:val="18"/>
          <w:szCs w:val="18"/>
        </w:rPr>
        <w:t xml:space="preserve">Not yet drafted. No source in project records identifies specific excluded personal property.</w:t>
      </w:r>
    </w:p>
    <w:p>
      <w:pPr>
        <w:spacing w:after="120"/>
      </w:pPr>
      <w:r>
        <w:rPr>
          <w:b w:val="false"/>
          <w:bCs w:val="false"/>
          <w:i w:val="false"/>
          <w:iCs w:val="false"/>
          <w:sz w:val="20"/>
          <w:szCs w:val="20"/>
        </w:rPr>
        <w:t xml:space="preserve">This schedule should list any personal property owned by Joseph Renna that is used in or around the Business but is NOT being conveyed to Buyer as part of the sale (e.g., personal vehicle, personal computer or devices not used for Business production, personal furniture at the home office, personal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7" w:val="clear"/>
            <w:tcMar>
              <w:top w:type="dxa" w:w="120"/>
              <w:left w:type="dxa" w:w="200"/>
              <w:bottom w:type="dxa" w:w="120"/>
              <w:right w:type="dxa" w:w="200"/>
            </w:tcMar>
          </w:tcPr>
          <w:p>
            <w:pPr>
              <w:spacing w:after="80" w:before="120"/>
            </w:pPr>
            <w:r>
              <w:rPr>
                <w:b/>
                <w:bCs/>
                <w:color w:val="B45309"/>
                <w:sz w:val="20"/>
                <w:szCs w:val="20"/>
              </w:rPr>
              <w:t xml:space="preserve">Needed to complete this schedule:</w:t>
            </w:r>
          </w:p>
          <w:p>
            <w:pPr>
              <w:pStyle w:val="ListParagraph"/>
              <w:numPr>
                <w:ilvl w:val="0"/>
                <w:numId w:val="2"/>
              </w:numPr>
              <w:spacing w:after="60"/>
            </w:pPr>
            <w:r>
              <w:rPr>
                <w:sz w:val="20"/>
                <w:szCs w:val="20"/>
              </w:rPr>
              <w:t xml:space="preserve">Direct list from Joe: any personal items at the home office that are his, not the Business's</w:t>
            </w:r>
          </w:p>
          <w:p>
            <w:pPr>
              <w:pStyle w:val="ListParagraph"/>
              <w:numPr>
                <w:ilvl w:val="0"/>
                <w:numId w:val="2"/>
              </w:numPr>
              <w:spacing w:after="60"/>
            </w:pPr>
            <w:r>
              <w:rPr>
                <w:sz w:val="20"/>
                <w:szCs w:val="20"/>
              </w:rPr>
              <w:t xml:space="preserve">Cross-check against the fixed-asset list (2 computers + 1 scanner reported as Business-owned) to make sure personal items aren't double-counted</w:t>
            </w:r>
          </w:p>
          <w:p>
            <w:pPr>
              <w:pStyle w:val="ListParagraph"/>
              <w:numPr>
                <w:ilvl w:val="0"/>
                <w:numId w:val="2"/>
              </w:numPr>
              <w:spacing w:after="60"/>
            </w:pPr>
            <w:r>
              <w:rPr>
                <w:sz w:val="20"/>
                <w:szCs w:val="20"/>
              </w:rPr>
              <w:t xml:space="preserve">Confirm whether any vehicle is used for Business deliveries/errands and, if so, whether it's included or excluded</w:t>
            </w:r>
          </w:p>
        </w:tc>
      </w:tr>
    </w:tbl>
    <w:p>
      <w:pPr>
        <w:pageBreakBefore/>
        <w:spacing w:after="40"/>
      </w:pPr>
      <w:r>
        <w:rPr>
          <w:b/>
          <w:bCs/>
          <w:color w:val="1F4E79"/>
          <w:sz w:val="22"/>
          <w:szCs w:val="22"/>
        </w:rPr>
        <w:t xml:space="preserve">Schedule 1.4(a)</w:t>
      </w:r>
    </w:p>
    <w:p>
      <w:pPr>
        <w:pStyle w:val="Heading1"/>
        <w:spacing w:after="160"/>
      </w:pPr>
      <w:r>
        <w:t xml:space="preserve">Assumed Liabilities</w:t>
      </w:r>
    </w:p>
    <w:p>
      <w:pPr>
        <w:pBdr>
          <w:bottom w:val="single" w:color="DDDDDD" w:sz="4" w:space="4"/>
        </w:pBdr>
        <w:spacing w:after="200"/>
      </w:pPr>
      <w:r>
        <w:rPr>
          <w:b/>
          <w:bCs/>
          <w:color w:val="2E7D32"/>
          <w:sz w:val="18"/>
          <w:szCs w:val="18"/>
        </w:rPr>
        <w:t xml:space="preserve">STATUS: </w:t>
      </w:r>
      <w:r>
        <w:rPr>
          <w:i/>
          <w:iCs/>
          <w:color w:val="666666"/>
          <w:sz w:val="18"/>
          <w:szCs w:val="18"/>
        </w:rPr>
        <w:t xml:space="preserve">Drafted per Matt's instruction: no assumed liabilities.</w:t>
      </w:r>
    </w:p>
    <w:p>
      <w:pPr>
        <w:spacing w:after="120"/>
      </w:pPr>
      <w:r>
        <w:rPr>
          <w:b/>
          <w:bCs/>
          <w:i w:val="false"/>
          <w:iCs w:val="false"/>
          <w:sz w:val="20"/>
          <w:szCs w:val="20"/>
        </w:rPr>
        <w:t xml:space="preserve">Buyer assumes NO liabilities of Seller in connection with this Agreement, except as may be otherwise expressly set forth in the Agreement.</w:t>
      </w:r>
    </w:p>
    <w:p>
      <w:pPr>
        <w:spacing w:after="120"/>
      </w:pPr>
      <w:r>
        <w:rPr>
          <w:b w:val="false"/>
          <w:bCs w:val="false"/>
          <w:i w:val="false"/>
          <w:iCs w:val="false"/>
          <w:sz w:val="20"/>
          <w:szCs w:val="20"/>
        </w:rPr>
        <w:t xml:space="preserve">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r>
              <w:rPr>
                <w:i/>
                <w:iCs/>
                <w:color w:val="666666"/>
                <w:sz w:val="18"/>
                <w:szCs w:val="18"/>
              </w:rPr>
              <w:t xml:space="preserve">Confirm this remains accurate through closing — in particular, that USDA/EDA loans, Wells Fargo processing obligations, and any vendor payables all stay with Seller and are not inadvertently assumed.</w:t>
            </w:r>
          </w:p>
        </w:tc>
      </w:tr>
    </w:tbl>
    <w:p>
      <w:pPr>
        <w:pageBreakBefore/>
        <w:spacing w:after="40"/>
      </w:pPr>
      <w:r>
        <w:rPr>
          <w:b/>
          <w:bCs/>
          <w:color w:val="1F4E79"/>
          <w:sz w:val="22"/>
          <w:szCs w:val="22"/>
        </w:rPr>
        <w:t xml:space="preserve">Schedule 1.5(a)</w:t>
      </w:r>
    </w:p>
    <w:p>
      <w:pPr>
        <w:pStyle w:val="Heading1"/>
        <w:spacing w:after="160"/>
      </w:pPr>
      <w:r>
        <w:t xml:space="preserve">Accounts Receivable for Unfulfilled Work</w:t>
      </w:r>
    </w:p>
    <w:p>
      <w:pPr>
        <w:pBdr>
          <w:bottom w:val="single" w:color="DDDDDD" w:sz="4" w:space="4"/>
        </w:pBdr>
        <w:spacing w:after="200"/>
      </w:pPr>
      <w:r>
        <w:rPr>
          <w:b/>
          <w:bCs/>
          <w:color w:val="B45309"/>
          <w:sz w:val="18"/>
          <w:szCs w:val="18"/>
        </w:rPr>
        <w:t xml:space="preserve">STATUS: </w:t>
      </w:r>
      <w:r>
        <w:rPr>
          <w:i/>
          <w:iCs/>
          <w:color w:val="666666"/>
          <w:sz w:val="18"/>
          <w:szCs w:val="18"/>
        </w:rPr>
        <w:t xml:space="preserve">Not yet populated. Diligence has flagged an unresolved discrepancy in the seller's AR aging that should be resolved before this schedule is finalized.</w:t>
      </w:r>
    </w:p>
    <w:p>
      <w:pPr>
        <w:spacing w:after="120"/>
      </w:pPr>
      <w:r>
        <w:rPr>
          <w:b w:val="false"/>
          <w:bCs w:val="false"/>
          <w:i w:val="false"/>
          <w:iCs w:val="false"/>
          <w:sz w:val="20"/>
          <w:szCs w:val="20"/>
        </w:rPr>
        <w:t xml:space="preserve">This schedule should list open accounts receivable tied to advertising work not yet delivered as of the closing date — i.e., amounts billed (or to be billed) for issues that have not yet printed/mailed.</w:t>
      </w:r>
    </w:p>
    <w:p>
      <w:pPr>
        <w:spacing w:after="120"/>
      </w:pPr>
      <w:r>
        <w:rPr>
          <w:b w:val="false"/>
          <w:bCs w:val="false"/>
          <w:i w:val="false"/>
          <w:iCs w:val="false"/>
          <w:sz w:val="20"/>
          <w:szCs w:val="20"/>
        </w:rPr>
        <w:t xml:space="preserve">Open diligence issue: AR aging as provided contradicts Seller's stated credit policy (invoices reportedly aging past the terms Joe describes). This should be reconciled with Seller before the schedule is finalized, not just transcribed 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7" w:val="clear"/>
            <w:tcMar>
              <w:top w:type="dxa" w:w="120"/>
              <w:left w:type="dxa" w:w="200"/>
              <w:bottom w:type="dxa" w:w="120"/>
              <w:right w:type="dxa" w:w="200"/>
            </w:tcMar>
          </w:tcPr>
          <w:p>
            <w:pPr>
              <w:spacing w:after="80" w:before="120"/>
            </w:pPr>
            <w:r>
              <w:rPr>
                <w:b/>
                <w:bCs/>
                <w:color w:val="B45309"/>
                <w:sz w:val="20"/>
                <w:szCs w:val="20"/>
              </w:rPr>
              <w:t xml:space="preserve">Needed to complete this schedule:</w:t>
            </w:r>
          </w:p>
          <w:p>
            <w:pPr>
              <w:pStyle w:val="ListParagraph"/>
              <w:numPr>
                <w:ilvl w:val="0"/>
                <w:numId w:val="2"/>
              </w:numPr>
              <w:spacing w:after="60"/>
            </w:pPr>
            <w:r>
              <w:rPr>
                <w:sz w:val="20"/>
                <w:szCs w:val="20"/>
              </w:rPr>
              <w:t xml:space="preserve">Current AR aging report by customer (12-month trailing, per the standing diligence ask)</w:t>
            </w:r>
          </w:p>
          <w:p>
            <w:pPr>
              <w:pStyle w:val="ListParagraph"/>
              <w:numPr>
                <w:ilvl w:val="0"/>
                <w:numId w:val="2"/>
              </w:numPr>
              <w:spacing w:after="60"/>
            </w:pPr>
            <w:r>
              <w:rPr>
                <w:sz w:val="20"/>
                <w:szCs w:val="20"/>
              </w:rPr>
              <w:t xml:space="preserve">Reconciliation of aged balances against Joe's stated credit/prepay policy</w:t>
            </w:r>
          </w:p>
          <w:p>
            <w:pPr>
              <w:pStyle w:val="ListParagraph"/>
              <w:numPr>
                <w:ilvl w:val="0"/>
                <w:numId w:val="2"/>
              </w:numPr>
              <w:spacing w:after="60"/>
            </w:pPr>
            <w:r>
              <w:rPr>
                <w:sz w:val="20"/>
                <w:szCs w:val="20"/>
              </w:rPr>
              <w:t xml:space="preserve">April–May 2026 general ledgers to true up recent activity</w:t>
            </w:r>
          </w:p>
          <w:p>
            <w:pPr>
              <w:pStyle w:val="ListParagraph"/>
              <w:numPr>
                <w:ilvl w:val="0"/>
                <w:numId w:val="2"/>
              </w:numPr>
              <w:spacing w:after="60"/>
            </w:pPr>
            <w:r>
              <w:rPr>
                <w:sz w:val="20"/>
                <w:szCs w:val="20"/>
              </w:rPr>
              <w:t xml:space="preserve">Clear cutover rule: which invoices are Seller's to collect vs. which transfer to Buyer as of closing</w:t>
            </w:r>
          </w:p>
        </w:tc>
      </w:tr>
    </w:tbl>
    <w:p>
      <w:pPr>
        <w:pageBreakBefore/>
        <w:spacing w:after="40"/>
      </w:pPr>
      <w:r>
        <w:rPr>
          <w:b/>
          <w:bCs/>
          <w:color w:val="1F4E79"/>
          <w:sz w:val="22"/>
          <w:szCs w:val="22"/>
        </w:rPr>
        <w:t xml:space="preserve">Schedule 1.5(b)</w:t>
      </w:r>
    </w:p>
    <w:p>
      <w:pPr>
        <w:pStyle w:val="Heading1"/>
        <w:spacing w:after="160"/>
      </w:pPr>
      <w:r>
        <w:t xml:space="preserve">Prepaid / Unearned Advertising Revenue</w:t>
      </w:r>
    </w:p>
    <w:p>
      <w:pPr>
        <w:pBdr>
          <w:bottom w:val="single" w:color="DDDDDD" w:sz="4" w:space="4"/>
        </w:pBdr>
        <w:spacing w:after="200"/>
      </w:pPr>
      <w:r>
        <w:rPr>
          <w:b/>
          <w:bCs/>
          <w:color w:val="B45309"/>
          <w:sz w:val="18"/>
          <w:szCs w:val="18"/>
        </w:rPr>
        <w:t xml:space="preserve">STATUS: </w:t>
      </w:r>
      <w:r>
        <w:rPr>
          <w:i/>
          <w:iCs/>
          <w:color w:val="666666"/>
          <w:sz w:val="18"/>
          <w:szCs w:val="18"/>
        </w:rPr>
        <w:t xml:space="preserve">Partially known. A figure exists but has an unresolved ~$6K discrepancy between Seller's and Buyer-side reconciliation.</w:t>
      </w:r>
    </w:p>
    <w:p>
      <w:pPr>
        <w:spacing w:after="120"/>
      </w:pPr>
      <w:r>
        <w:rPr>
          <w:b w:val="false"/>
          <w:bCs w:val="false"/>
          <w:i w:val="false"/>
          <w:iCs w:val="false"/>
          <w:sz w:val="20"/>
          <w:szCs w:val="20"/>
        </w:rPr>
        <w:t xml:space="preserve">Prepaid/unearned ad revenue is tracked via Seller's prepaid spreadsheet, which spreads prepayments across future issues (with occasional “free” bonus months under promotions such as “prepay 12 months, get 3 more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Source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Prepaid Liability Figure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Joe's PDF summary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~$66,000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As provided by Seller</w:t>
            </w:r>
          </w:p>
        </w:tc>
      </w:tr>
      <w:tr>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Cheryl's corrected reconciliation</w:t>
            </w:r>
          </w:p>
        </w:tc>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~$72,000</w:t>
            </w:r>
          </w:p>
        </w:tc>
        <w:tc>
          <w:tcPr>
            <w:tcW w:type="dxa" w:w="4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Seller's workbook had formula errors; this figure crossfoots</w:t>
            </w:r>
          </w:p>
        </w:tc>
      </w:tr>
    </w:tbl>
    <w:p>
      <w:pPr>
        <w:spacing w:after="120"/>
      </w:pPr>
      <w:r>
        <w:rPr>
          <w:b w:val="false"/>
          <w:bCs w:val="false"/>
          <w:i w:val="false"/>
          <w:iCs w:val="false"/>
          <w:sz w:val="20"/>
          <w:szCs w:val="20"/>
        </w:rPr>
        <w:t xml:space="preserve">This schedule should reflect the corrected, crossfooted figure at the actual closing date, not either estimate above, and should settle via the closing settlement sheet (reducing Matt's cash-in at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7" w:val="clear"/>
            <w:tcMar>
              <w:top w:type="dxa" w:w="120"/>
              <w:left w:type="dxa" w:w="200"/>
              <w:bottom w:type="dxa" w:w="120"/>
              <w:right w:type="dxa" w:w="200"/>
            </w:tcMar>
          </w:tcPr>
          <w:p>
            <w:pPr>
              <w:spacing w:after="80" w:before="120"/>
            </w:pPr>
            <w:r>
              <w:rPr>
                <w:b/>
                <w:bCs/>
                <w:color w:val="B45309"/>
                <w:sz w:val="20"/>
                <w:szCs w:val="20"/>
              </w:rPr>
              <w:t xml:space="preserve">Needed to complete this schedule:</w:t>
            </w:r>
          </w:p>
          <w:p>
            <w:pPr>
              <w:pStyle w:val="ListParagraph"/>
              <w:numPr>
                <w:ilvl w:val="0"/>
                <w:numId w:val="2"/>
              </w:numPr>
              <w:spacing w:after="60"/>
            </w:pPr>
            <w:r>
              <w:rPr>
                <w:sz w:val="20"/>
                <w:szCs w:val="20"/>
              </w:rPr>
              <w:t xml:space="preserve">Corrected prepaid workbook that foots and crossfoots cleanly, current to the actual closing date</w:t>
            </w:r>
          </w:p>
          <w:p>
            <w:pPr>
              <w:pStyle w:val="ListParagraph"/>
              <w:numPr>
                <w:ilvl w:val="0"/>
                <w:numId w:val="2"/>
              </w:numPr>
              <w:spacing w:after="60"/>
            </w:pPr>
            <w:r>
              <w:rPr>
                <w:sz w:val="20"/>
                <w:szCs w:val="20"/>
              </w:rPr>
              <w:t xml:space="preserve">Sample underlying contracts tying prepayments to specific fulfillment months</w:t>
            </w:r>
          </w:p>
          <w:p>
            <w:pPr>
              <w:pStyle w:val="ListParagraph"/>
              <w:numPr>
                <w:ilvl w:val="0"/>
                <w:numId w:val="2"/>
              </w:numPr>
              <w:spacing w:after="60"/>
            </w:pPr>
            <w:r>
              <w:rPr>
                <w:sz w:val="20"/>
                <w:szCs w:val="20"/>
              </w:rPr>
              <w:t xml:space="preserve">Confirmed settlement mechanics: how the prepaid balance nets against cash due at closing</w:t>
            </w:r>
          </w:p>
        </w:tc>
      </w:tr>
    </w:tbl>
    <w:p>
      <w:pPr>
        <w:pageBreakBefore/>
        <w:spacing w:after="40"/>
      </w:pPr>
      <w:r>
        <w:rPr>
          <w:b/>
          <w:bCs/>
          <w:color w:val="1F4E79"/>
          <w:sz w:val="22"/>
          <w:szCs w:val="22"/>
        </w:rPr>
        <w:t xml:space="preserve">Schedule 3.1(d)</w:t>
      </w:r>
    </w:p>
    <w:p>
      <w:pPr>
        <w:pStyle w:val="Heading1"/>
        <w:spacing w:after="160"/>
      </w:pPr>
      <w:r>
        <w:t xml:space="preserve">Existing Business Debts of Seller</w:t>
      </w:r>
    </w:p>
    <w:p>
      <w:pPr>
        <w:pBdr>
          <w:bottom w:val="single" w:color="DDDDDD" w:sz="4" w:space="4"/>
        </w:pBdr>
        <w:spacing w:after="200"/>
      </w:pPr>
      <w:r>
        <w:rPr>
          <w:b/>
          <w:bCs/>
          <w:color w:val="B45309"/>
          <w:sz w:val="18"/>
          <w:szCs w:val="18"/>
        </w:rPr>
        <w:t xml:space="preserve">STATUS: </w:t>
      </w:r>
      <w:r>
        <w:rPr>
          <w:i/>
          <w:iCs/>
          <w:color w:val="666666"/>
          <w:sz w:val="18"/>
          <w:szCs w:val="18"/>
        </w:rPr>
        <w:t xml:space="preserve">Known category identified; specific balances/terms not yet in project records.</w:t>
      </w:r>
    </w:p>
    <w:p>
      <w:pPr>
        <w:spacing w:after="120"/>
      </w:pPr>
      <w:r>
        <w:rPr>
          <w:b w:val="false"/>
          <w:bCs w:val="false"/>
          <w:i w:val="false"/>
          <w:iCs w:val="false"/>
          <w:sz w:val="20"/>
          <w:szCs w:val="20"/>
        </w:rPr>
        <w:t xml:space="preserve">The primary known liability category is USDA/EDA zero-interest loans. Per the June 2026 APA review, Joe has already provided a list of these loans during diligence; that list should be transcribed into this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7" w:val="clear"/>
            <w:tcMar>
              <w:top w:type="dxa" w:w="120"/>
              <w:left w:type="dxa" w:w="200"/>
              <w:bottom w:type="dxa" w:w="120"/>
              <w:right w:type="dxa" w:w="200"/>
            </w:tcMar>
          </w:tcPr>
          <w:p>
            <w:pPr>
              <w:spacing w:after="80" w:before="120"/>
            </w:pPr>
            <w:r>
              <w:rPr>
                <w:b/>
                <w:bCs/>
                <w:color w:val="B45309"/>
                <w:sz w:val="20"/>
                <w:szCs w:val="20"/>
              </w:rPr>
              <w:t xml:space="preserve">Needed to complete this schedule:</w:t>
            </w:r>
          </w:p>
          <w:p>
            <w:pPr>
              <w:pStyle w:val="ListParagraph"/>
              <w:numPr>
                <w:ilvl w:val="0"/>
                <w:numId w:val="2"/>
              </w:numPr>
              <w:spacing w:after="60"/>
            </w:pPr>
            <w:r>
              <w:rPr>
                <w:sz w:val="20"/>
                <w:szCs w:val="20"/>
              </w:rPr>
              <w:t xml:space="preserve">Joe's USDA/EDA loan list (lender, original amount, current balance, rate, maturity, any security interest/UCC filing)</w:t>
            </w:r>
          </w:p>
          <w:p>
            <w:pPr>
              <w:pStyle w:val="ListParagraph"/>
              <w:numPr>
                <w:ilvl w:val="0"/>
                <w:numId w:val="2"/>
              </w:numPr>
              <w:spacing w:after="60"/>
            </w:pPr>
            <w:r>
              <w:rPr>
                <w:sz w:val="20"/>
                <w:szCs w:val="20"/>
              </w:rPr>
              <w:t xml:space="preserve">Confirmation these loans stay with Seller and are not an assumed liability (cross-reference Schedule 1.4(a))</w:t>
            </w:r>
          </w:p>
          <w:p>
            <w:pPr>
              <w:pStyle w:val="ListParagraph"/>
              <w:numPr>
                <w:ilvl w:val="0"/>
                <w:numId w:val="2"/>
              </w:numPr>
              <w:spacing w:after="60"/>
            </w:pPr>
            <w:r>
              <w:rPr>
                <w:sz w:val="20"/>
                <w:szCs w:val="20"/>
              </w:rPr>
              <w:t xml:space="preserve">Any other outstanding business debt not yet disclosed (equipment financing, credit lines, vendor financing)</w:t>
            </w:r>
          </w:p>
          <w:p>
            <w:pPr>
              <w:pStyle w:val="ListParagraph"/>
              <w:numPr>
                <w:ilvl w:val="0"/>
                <w:numId w:val="2"/>
              </w:numPr>
              <w:spacing w:after="60"/>
            </w:pPr>
            <w:r>
              <w:rPr>
                <w:sz w:val="20"/>
                <w:szCs w:val="20"/>
              </w:rPr>
              <w:t xml:space="preserve">UCC lien search results to independently verify against Joe's list</w:t>
            </w:r>
          </w:p>
        </w:tc>
      </w:tr>
    </w:tbl>
    <w:p>
      <w:pPr>
        <w:pageBreakBefore/>
        <w:spacing w:after="40"/>
      </w:pPr>
      <w:r>
        <w:rPr>
          <w:b/>
          <w:bCs/>
          <w:color w:val="1F4E79"/>
          <w:sz w:val="22"/>
          <w:szCs w:val="22"/>
        </w:rPr>
        <w:t xml:space="preserve">Schedule 4.6</w:t>
      </w:r>
    </w:p>
    <w:p>
      <w:pPr>
        <w:pStyle w:val="Heading1"/>
        <w:spacing w:after="160"/>
      </w:pPr>
      <w:r>
        <w:t xml:space="preserve">Existing Litigation</w:t>
      </w:r>
    </w:p>
    <w:p>
      <w:pPr>
        <w:pBdr>
          <w:bottom w:val="single" w:color="DDDDDD" w:sz="4" w:space="4"/>
        </w:pBdr>
        <w:spacing w:after="200"/>
      </w:pPr>
      <w:r>
        <w:rPr>
          <w:b/>
          <w:bCs/>
          <w:color w:val="B45309"/>
          <w:sz w:val="18"/>
          <w:szCs w:val="18"/>
        </w:rPr>
        <w:t xml:space="preserve">STATUS: </w:t>
      </w:r>
      <w:r>
        <w:rPr>
          <w:i/>
          <w:iCs/>
          <w:color w:val="666666"/>
          <w:sz w:val="18"/>
          <w:szCs w:val="18"/>
        </w:rPr>
        <w:t xml:space="preserve">Drafted as “None” based on no known claims in project records. Confirm this is the correct rep for Section 4.6 in the executed APA — project notes on Section 4.6 reference employment-contract status, not litigation, so double-check section numbering with counsel.</w:t>
      </w:r>
    </w:p>
    <w:p>
      <w:pPr>
        <w:spacing w:after="120"/>
      </w:pPr>
      <w:r>
        <w:rPr>
          <w:b w:val="false"/>
          <w:bCs w:val="false"/>
          <w:i w:val="false"/>
          <w:iCs w:val="false"/>
          <w:sz w:val="20"/>
          <w:szCs w:val="20"/>
        </w:rPr>
        <w:t xml:space="preserve">There is no pending or threatened litigation, arbitration, or governmental proceeding against Seller or relating to the Business as of the date of this Agreement.</w:t>
      </w:r>
    </w:p>
    <w:p>
      <w:pPr>
        <w:spacing w:after="120"/>
      </w:pPr>
      <w:r>
        <w:rPr>
          <w:b w:val="false"/>
          <w:bCs w:val="false"/>
          <w:i w:val="false"/>
          <w:iCs w:val="false"/>
          <w:sz w:val="20"/>
          <w:szCs w:val="20"/>
        </w:rPr>
        <w:t xml:space="preserve">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7" w:val="clear"/>
            <w:tcMar>
              <w:top w:type="dxa" w:w="120"/>
              <w:left w:type="dxa" w:w="200"/>
              <w:bottom w:type="dxa" w:w="120"/>
              <w:right w:type="dxa" w:w="200"/>
            </w:tcMar>
          </w:tcPr>
          <w:p>
            <w:pPr>
              <w:spacing w:after="80" w:before="120"/>
            </w:pPr>
            <w:r>
              <w:rPr>
                <w:b/>
                <w:bCs/>
                <w:color w:val="B45309"/>
                <w:sz w:val="20"/>
                <w:szCs w:val="20"/>
              </w:rPr>
              <w:t xml:space="preserve">Needed to complete this schedule:</w:t>
            </w:r>
          </w:p>
          <w:p>
            <w:pPr>
              <w:pStyle w:val="ListParagraph"/>
              <w:numPr>
                <w:ilvl w:val="0"/>
                <w:numId w:val="2"/>
              </w:numPr>
              <w:spacing w:after="60"/>
            </w:pPr>
            <w:r>
              <w:rPr>
                <w:sz w:val="20"/>
                <w:szCs w:val="20"/>
              </w:rPr>
              <w:t xml:space="preserve">Direct confirmation from Joe/Tina: no pending or threatened claims, disputes, or regulatory inquiries</w:t>
            </w:r>
          </w:p>
          <w:p>
            <w:pPr>
              <w:pStyle w:val="ListParagraph"/>
              <w:numPr>
                <w:ilvl w:val="0"/>
                <w:numId w:val="2"/>
              </w:numPr>
              <w:spacing w:after="60"/>
            </w:pPr>
            <w:r>
              <w:rPr>
                <w:sz w:val="20"/>
                <w:szCs w:val="20"/>
              </w:rPr>
              <w:t xml:space="preserve">Judgment, UCC, and litigation search results (part of buy-side counsel's standard search package)</w:t>
            </w:r>
          </w:p>
          <w:p>
            <w:pPr>
              <w:pStyle w:val="ListParagraph"/>
              <w:numPr>
                <w:ilvl w:val="0"/>
                <w:numId w:val="2"/>
              </w:numPr>
              <w:spacing w:after="60"/>
            </w:pPr>
            <w:r>
              <w:rPr>
                <w:sz w:val="20"/>
                <w:szCs w:val="20"/>
              </w:rPr>
              <w:t xml:space="preserve">Verify against the final executed APA that Section 4.6 is in fact the litigation representation (source notes tie 4.6 to employment-contract status instead)</w:t>
            </w:r>
          </w:p>
        </w:tc>
      </w:tr>
    </w:tbl>
    <w:p>
      <w:pPr>
        <w:pageBreakBefore/>
        <w:spacing w:after="40"/>
      </w:pPr>
      <w:r>
        <w:rPr>
          <w:b/>
          <w:bCs/>
          <w:color w:val="1F4E79"/>
          <w:sz w:val="22"/>
          <w:szCs w:val="22"/>
        </w:rPr>
        <w:t xml:space="preserve">Schedule 4.7</w:t>
      </w:r>
    </w:p>
    <w:p>
      <w:pPr>
        <w:pStyle w:val="Heading1"/>
        <w:spacing w:after="160"/>
      </w:pPr>
      <w:r>
        <w:t xml:space="preserve">Trade Names</w:t>
      </w:r>
    </w:p>
    <w:p>
      <w:pPr>
        <w:pBdr>
          <w:bottom w:val="single" w:color="DDDDDD" w:sz="4" w:space="4"/>
        </w:pBdr>
        <w:spacing w:after="200"/>
      </w:pPr>
      <w:r>
        <w:rPr>
          <w:b/>
          <w:bCs/>
          <w:color w:val="2E7D32"/>
          <w:sz w:val="18"/>
          <w:szCs w:val="18"/>
        </w:rPr>
        <w:t xml:space="preserve">STATUS: </w:t>
      </w:r>
      <w:r>
        <w:rPr>
          <w:i/>
          <w:iCs/>
          <w:color w:val="666666"/>
          <w:sz w:val="18"/>
          <w:szCs w:val="18"/>
        </w:rPr>
        <w:t xml:space="preserve">Drafted from the current publication roster. None of these names are registered trademarks per Seller's counsel discussion.</w:t>
      </w:r>
    </w:p>
    <w:p>
      <w:pPr>
        <w:spacing w:after="120"/>
      </w:pPr>
      <w:r>
        <w:rPr>
          <w:b w:val="false"/>
          <w:bCs w:val="false"/>
          <w:i w:val="false"/>
          <w:iCs w:val="false"/>
          <w:sz w:val="20"/>
          <w:szCs w:val="20"/>
        </w:rPr>
        <w:t xml:space="preserve">Seller has never registered any trademarks. The following names are used in commerce as unregistered trade names / d/b/a's in connection with the Business:</w:t>
      </w:r>
    </w:p>
    <w:p>
      <w:pPr>
        <w:pStyle w:val="ListParagraph"/>
        <w:numPr>
          <w:ilvl w:val="0"/>
          <w:numId w:val="2"/>
        </w:numPr>
        <w:spacing w:after="60"/>
      </w:pPr>
      <w:r>
        <w:rPr>
          <w:b/>
          <w:bCs/>
          <w:sz w:val="20"/>
          <w:szCs w:val="20"/>
        </w:rPr>
        <w:t xml:space="preserve">Renna Media</w:t>
      </w:r>
    </w:p>
    <w:p>
      <w:pPr>
        <w:pStyle w:val="ListParagraph"/>
        <w:numPr>
          <w:ilvl w:val="0"/>
          <w:numId w:val="2"/>
        </w:numPr>
        <w:spacing w:after="60"/>
      </w:pPr>
      <w:r>
        <w:rPr>
          <w:b w:val="false"/>
          <w:bCs w:val="false"/>
          <w:sz w:val="20"/>
          <w:szCs w:val="20"/>
        </w:rPr>
        <w:t xml:space="preserve">Rentec Design Studio (predecessor name – confirm still in active use)</w:t>
      </w:r>
    </w:p>
    <w:p>
      <w:pPr>
        <w:pStyle w:val="ListParagraph"/>
        <w:numPr>
          <w:ilvl w:val="0"/>
          <w:numId w:val="2"/>
        </w:numPr>
        <w:spacing w:after="60"/>
      </w:pPr>
      <w:r>
        <w:rPr>
          <w:b w:val="false"/>
          <w:bCs w:val="false"/>
          <w:sz w:val="20"/>
          <w:szCs w:val="20"/>
        </w:rPr>
        <w:t xml:space="preserve">Berkeley Heights News</w:t>
      </w:r>
    </w:p>
    <w:p>
      <w:pPr>
        <w:pStyle w:val="ListParagraph"/>
        <w:numPr>
          <w:ilvl w:val="0"/>
          <w:numId w:val="2"/>
        </w:numPr>
        <w:spacing w:after="60"/>
      </w:pPr>
      <w:r>
        <w:rPr>
          <w:b w:val="false"/>
          <w:bCs w:val="false"/>
          <w:sz w:val="20"/>
          <w:szCs w:val="20"/>
        </w:rPr>
        <w:t xml:space="preserve">The Chathams</w:t>
      </w:r>
    </w:p>
    <w:p>
      <w:pPr>
        <w:pStyle w:val="ListParagraph"/>
        <w:numPr>
          <w:ilvl w:val="0"/>
          <w:numId w:val="2"/>
        </w:numPr>
        <w:spacing w:after="60"/>
      </w:pPr>
      <w:r>
        <w:rPr>
          <w:b w:val="false"/>
          <w:bCs w:val="false"/>
          <w:sz w:val="20"/>
          <w:szCs w:val="20"/>
        </w:rPr>
        <w:t xml:space="preserve">Clark Monthly</w:t>
      </w:r>
    </w:p>
    <w:p>
      <w:pPr>
        <w:pStyle w:val="ListParagraph"/>
        <w:numPr>
          <w:ilvl w:val="0"/>
          <w:numId w:val="2"/>
        </w:numPr>
        <w:spacing w:after="60"/>
      </w:pPr>
      <w:r>
        <w:rPr>
          <w:b w:val="false"/>
          <w:bCs w:val="false"/>
          <w:sz w:val="20"/>
          <w:szCs w:val="20"/>
        </w:rPr>
        <w:t xml:space="preserve">Cranford Monthly</w:t>
      </w:r>
    </w:p>
    <w:p>
      <w:pPr>
        <w:pStyle w:val="ListParagraph"/>
        <w:numPr>
          <w:ilvl w:val="0"/>
          <w:numId w:val="2"/>
        </w:numPr>
        <w:spacing w:after="60"/>
      </w:pPr>
      <w:r>
        <w:rPr>
          <w:b w:val="false"/>
          <w:bCs w:val="false"/>
          <w:sz w:val="20"/>
          <w:szCs w:val="20"/>
        </w:rPr>
        <w:t xml:space="preserve">East Hanover View</w:t>
      </w:r>
    </w:p>
    <w:p>
      <w:pPr>
        <w:pStyle w:val="ListParagraph"/>
        <w:numPr>
          <w:ilvl w:val="0"/>
          <w:numId w:val="2"/>
        </w:numPr>
        <w:spacing w:after="60"/>
      </w:pPr>
      <w:r>
        <w:rPr>
          <w:b w:val="false"/>
          <w:bCs w:val="false"/>
          <w:sz w:val="20"/>
          <w:szCs w:val="20"/>
        </w:rPr>
        <w:t xml:space="preserve">Elmora Hills</w:t>
      </w:r>
    </w:p>
    <w:p>
      <w:pPr>
        <w:pStyle w:val="ListParagraph"/>
        <w:numPr>
          <w:ilvl w:val="0"/>
          <w:numId w:val="2"/>
        </w:numPr>
        <w:spacing w:after="60"/>
      </w:pPr>
      <w:r>
        <w:rPr>
          <w:b w:val="false"/>
          <w:bCs w:val="false"/>
          <w:sz w:val="20"/>
          <w:szCs w:val="20"/>
        </w:rPr>
        <w:t xml:space="preserve">Fanwood Post</w:t>
      </w:r>
    </w:p>
    <w:p>
      <w:pPr>
        <w:pStyle w:val="ListParagraph"/>
        <w:numPr>
          <w:ilvl w:val="0"/>
          <w:numId w:val="2"/>
        </w:numPr>
        <w:spacing w:after="60"/>
      </w:pPr>
      <w:r>
        <w:rPr>
          <w:b w:val="false"/>
          <w:bCs w:val="false"/>
          <w:sz w:val="20"/>
          <w:szCs w:val="20"/>
        </w:rPr>
        <w:t xml:space="preserve">Florham Park Press</w:t>
      </w:r>
    </w:p>
    <w:p>
      <w:pPr>
        <w:pStyle w:val="ListParagraph"/>
        <w:numPr>
          <w:ilvl w:val="0"/>
          <w:numId w:val="2"/>
        </w:numPr>
        <w:spacing w:after="60"/>
      </w:pPr>
      <w:r>
        <w:rPr>
          <w:b w:val="false"/>
          <w:bCs w:val="false"/>
          <w:sz w:val="20"/>
          <w:szCs w:val="20"/>
        </w:rPr>
        <w:t xml:space="preserve">Garwood Times</w:t>
      </w:r>
    </w:p>
    <w:p>
      <w:pPr>
        <w:pStyle w:val="ListParagraph"/>
        <w:numPr>
          <w:ilvl w:val="0"/>
          <w:numId w:val="2"/>
        </w:numPr>
        <w:spacing w:after="60"/>
      </w:pPr>
      <w:r>
        <w:rPr>
          <w:b w:val="false"/>
          <w:bCs w:val="false"/>
          <w:sz w:val="20"/>
          <w:szCs w:val="20"/>
        </w:rPr>
        <w:t xml:space="preserve">Green Brook Gazette</w:t>
      </w:r>
    </w:p>
    <w:p>
      <w:pPr>
        <w:pStyle w:val="ListParagraph"/>
        <w:numPr>
          <w:ilvl w:val="0"/>
          <w:numId w:val="2"/>
        </w:numPr>
        <w:spacing w:after="60"/>
      </w:pPr>
      <w:r>
        <w:rPr>
          <w:b w:val="false"/>
          <w:bCs w:val="false"/>
          <w:sz w:val="20"/>
          <w:szCs w:val="20"/>
        </w:rPr>
        <w:t xml:space="preserve">Hanover Township Press</w:t>
      </w:r>
    </w:p>
    <w:p>
      <w:pPr>
        <w:pStyle w:val="ListParagraph"/>
        <w:numPr>
          <w:ilvl w:val="0"/>
          <w:numId w:val="2"/>
        </w:numPr>
        <w:spacing w:after="60"/>
      </w:pPr>
      <w:r>
        <w:rPr>
          <w:b w:val="false"/>
          <w:bCs w:val="false"/>
          <w:sz w:val="20"/>
          <w:szCs w:val="20"/>
        </w:rPr>
        <w:t xml:space="preserve">Kenilworth Business Life</w:t>
      </w:r>
    </w:p>
    <w:p>
      <w:pPr>
        <w:pStyle w:val="ListParagraph"/>
        <w:numPr>
          <w:ilvl w:val="0"/>
          <w:numId w:val="2"/>
        </w:numPr>
        <w:spacing w:after="60"/>
      </w:pPr>
      <w:r>
        <w:rPr>
          <w:b w:val="false"/>
          <w:bCs w:val="false"/>
          <w:sz w:val="20"/>
          <w:szCs w:val="20"/>
        </w:rPr>
        <w:t xml:space="preserve">Life in Linden</w:t>
      </w:r>
    </w:p>
    <w:p>
      <w:pPr>
        <w:pStyle w:val="ListParagraph"/>
        <w:numPr>
          <w:ilvl w:val="0"/>
          <w:numId w:val="2"/>
        </w:numPr>
        <w:spacing w:after="60"/>
      </w:pPr>
      <w:r>
        <w:rPr>
          <w:b w:val="false"/>
          <w:bCs w:val="false"/>
          <w:sz w:val="20"/>
          <w:szCs w:val="20"/>
        </w:rPr>
        <w:t xml:space="preserve">Livingston Monthly</w:t>
      </w:r>
    </w:p>
    <w:p>
      <w:pPr>
        <w:pStyle w:val="ListParagraph"/>
        <w:numPr>
          <w:ilvl w:val="0"/>
          <w:numId w:val="2"/>
        </w:numPr>
        <w:spacing w:after="60"/>
      </w:pPr>
      <w:r>
        <w:rPr>
          <w:b w:val="false"/>
          <w:bCs w:val="false"/>
          <w:sz w:val="20"/>
          <w:szCs w:val="20"/>
        </w:rPr>
        <w:t xml:space="preserve">Long Hill Leader</w:t>
      </w:r>
    </w:p>
    <w:p>
      <w:pPr>
        <w:pStyle w:val="ListParagraph"/>
        <w:numPr>
          <w:ilvl w:val="0"/>
          <w:numId w:val="2"/>
        </w:numPr>
        <w:spacing w:after="60"/>
      </w:pPr>
      <w:r>
        <w:rPr>
          <w:b w:val="false"/>
          <w:bCs w:val="false"/>
          <w:sz w:val="20"/>
          <w:szCs w:val="20"/>
        </w:rPr>
        <w:t xml:space="preserve">Madison Monthly</w:t>
      </w:r>
    </w:p>
    <w:p>
      <w:pPr>
        <w:pStyle w:val="ListParagraph"/>
        <w:numPr>
          <w:ilvl w:val="0"/>
          <w:numId w:val="2"/>
        </w:numPr>
        <w:spacing w:after="60"/>
      </w:pPr>
      <w:r>
        <w:rPr>
          <w:b w:val="false"/>
          <w:bCs w:val="false"/>
          <w:sz w:val="20"/>
          <w:szCs w:val="20"/>
        </w:rPr>
        <w:t xml:space="preserve">Millburn Short Hills Monthly</w:t>
      </w:r>
    </w:p>
    <w:p>
      <w:pPr>
        <w:pStyle w:val="ListParagraph"/>
        <w:numPr>
          <w:ilvl w:val="0"/>
          <w:numId w:val="2"/>
        </w:numPr>
        <w:spacing w:after="60"/>
      </w:pPr>
      <w:r>
        <w:rPr>
          <w:b w:val="false"/>
          <w:bCs w:val="false"/>
          <w:sz w:val="20"/>
          <w:szCs w:val="20"/>
        </w:rPr>
        <w:t xml:space="preserve">Morris Township Times</w:t>
      </w:r>
    </w:p>
    <w:p>
      <w:pPr>
        <w:pStyle w:val="ListParagraph"/>
        <w:numPr>
          <w:ilvl w:val="0"/>
          <w:numId w:val="2"/>
        </w:numPr>
        <w:spacing w:after="60"/>
      </w:pPr>
      <w:r>
        <w:rPr>
          <w:b w:val="false"/>
          <w:bCs w:val="false"/>
          <w:sz w:val="20"/>
          <w:szCs w:val="20"/>
        </w:rPr>
        <w:t xml:space="preserve">Morristown Monthly</w:t>
      </w:r>
    </w:p>
    <w:p>
      <w:pPr>
        <w:pStyle w:val="ListParagraph"/>
        <w:numPr>
          <w:ilvl w:val="0"/>
          <w:numId w:val="2"/>
        </w:numPr>
        <w:spacing w:after="60"/>
      </w:pPr>
      <w:r>
        <w:rPr>
          <w:b w:val="false"/>
          <w:bCs w:val="false"/>
          <w:sz w:val="20"/>
          <w:szCs w:val="20"/>
        </w:rPr>
        <w:t xml:space="preserve">Mountainside View</w:t>
      </w:r>
    </w:p>
    <w:p>
      <w:pPr>
        <w:pStyle w:val="ListParagraph"/>
        <w:numPr>
          <w:ilvl w:val="0"/>
          <w:numId w:val="2"/>
        </w:numPr>
        <w:spacing w:after="60"/>
      </w:pPr>
      <w:r>
        <w:rPr>
          <w:b w:val="false"/>
          <w:bCs w:val="false"/>
          <w:sz w:val="20"/>
          <w:szCs w:val="20"/>
        </w:rPr>
        <w:t xml:space="preserve">New Providence News</w:t>
      </w:r>
    </w:p>
    <w:p>
      <w:pPr>
        <w:pStyle w:val="ListParagraph"/>
        <w:numPr>
          <w:ilvl w:val="0"/>
          <w:numId w:val="2"/>
        </w:numPr>
        <w:spacing w:after="60"/>
      </w:pPr>
      <w:r>
        <w:rPr>
          <w:b w:val="false"/>
          <w:bCs w:val="false"/>
          <w:sz w:val="20"/>
          <w:szCs w:val="20"/>
        </w:rPr>
        <w:t xml:space="preserve">Our Town Rahway</w:t>
      </w:r>
    </w:p>
    <w:p>
      <w:pPr>
        <w:pStyle w:val="ListParagraph"/>
        <w:numPr>
          <w:ilvl w:val="0"/>
          <w:numId w:val="2"/>
        </w:numPr>
        <w:spacing w:after="60"/>
      </w:pPr>
      <w:r>
        <w:rPr>
          <w:b w:val="false"/>
          <w:bCs w:val="false"/>
          <w:sz w:val="20"/>
          <w:szCs w:val="20"/>
        </w:rPr>
        <w:t xml:space="preserve">Life in Roseland</w:t>
      </w:r>
    </w:p>
    <w:p>
      <w:pPr>
        <w:pStyle w:val="ListParagraph"/>
        <w:numPr>
          <w:ilvl w:val="0"/>
          <w:numId w:val="2"/>
        </w:numPr>
        <w:spacing w:after="60"/>
      </w:pPr>
      <w:r>
        <w:rPr>
          <w:b w:val="false"/>
          <w:bCs w:val="false"/>
          <w:sz w:val="20"/>
          <w:szCs w:val="20"/>
        </w:rPr>
        <w:t xml:space="preserve">Roselle Park Monthly</w:t>
      </w:r>
    </w:p>
    <w:p>
      <w:pPr>
        <w:pStyle w:val="ListParagraph"/>
        <w:numPr>
          <w:ilvl w:val="0"/>
          <w:numId w:val="2"/>
        </w:numPr>
        <w:spacing w:after="60"/>
      </w:pPr>
      <w:r>
        <w:rPr>
          <w:b w:val="false"/>
          <w:bCs w:val="false"/>
          <w:sz w:val="20"/>
          <w:szCs w:val="20"/>
        </w:rPr>
        <w:t xml:space="preserve">Scotch Plains Monthly</w:t>
      </w:r>
    </w:p>
    <w:p>
      <w:pPr>
        <w:pStyle w:val="ListParagraph"/>
        <w:numPr>
          <w:ilvl w:val="0"/>
          <w:numId w:val="2"/>
        </w:numPr>
        <w:spacing w:after="60"/>
      </w:pPr>
      <w:r>
        <w:rPr>
          <w:b w:val="false"/>
          <w:bCs w:val="false"/>
          <w:sz w:val="20"/>
          <w:szCs w:val="20"/>
        </w:rPr>
        <w:t xml:space="preserve">Summit Times</w:t>
      </w:r>
    </w:p>
    <w:p>
      <w:pPr>
        <w:pStyle w:val="ListParagraph"/>
        <w:numPr>
          <w:ilvl w:val="0"/>
          <w:numId w:val="2"/>
        </w:numPr>
        <w:spacing w:after="60"/>
      </w:pPr>
      <w:r>
        <w:rPr>
          <w:b w:val="false"/>
          <w:bCs w:val="false"/>
          <w:sz w:val="20"/>
          <w:szCs w:val="20"/>
        </w:rPr>
        <w:t xml:space="preserve">Spirit of Union</w:t>
      </w:r>
    </w:p>
    <w:p>
      <w:pPr>
        <w:pStyle w:val="ListParagraph"/>
        <w:numPr>
          <w:ilvl w:val="0"/>
          <w:numId w:val="2"/>
        </w:numPr>
        <w:spacing w:after="60"/>
      </w:pPr>
      <w:r>
        <w:rPr>
          <w:b w:val="false"/>
          <w:bCs w:val="false"/>
          <w:sz w:val="20"/>
          <w:szCs w:val="20"/>
        </w:rPr>
        <w:t xml:space="preserve">Warren Monthly</w:t>
      </w:r>
    </w:p>
    <w:p>
      <w:pPr>
        <w:pStyle w:val="ListParagraph"/>
        <w:numPr>
          <w:ilvl w:val="0"/>
          <w:numId w:val="2"/>
        </w:numPr>
        <w:spacing w:after="60"/>
      </w:pPr>
      <w:r>
        <w:rPr>
          <w:b w:val="false"/>
          <w:bCs w:val="false"/>
          <w:sz w:val="20"/>
          <w:szCs w:val="20"/>
        </w:rPr>
        <w:t xml:space="preserve">Watchung Post</w:t>
      </w:r>
    </w:p>
    <w:p>
      <w:pPr>
        <w:pStyle w:val="ListParagraph"/>
        <w:numPr>
          <w:ilvl w:val="0"/>
          <w:numId w:val="2"/>
        </w:numPr>
        <w:spacing w:after="60"/>
      </w:pPr>
      <w:r>
        <w:rPr>
          <w:b w:val="false"/>
          <w:bCs w:val="false"/>
          <w:sz w:val="20"/>
          <w:szCs w:val="20"/>
        </w:rPr>
        <w:t xml:space="preserve">Westfield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7" w:val="clear"/>
            <w:tcMar>
              <w:top w:type="dxa" w:w="120"/>
              <w:left w:type="dxa" w:w="200"/>
              <w:bottom w:type="dxa" w:w="120"/>
              <w:right w:type="dxa" w:w="200"/>
            </w:tcMar>
          </w:tcPr>
          <w:p>
            <w:pPr>
              <w:spacing w:after="80" w:before="120"/>
            </w:pPr>
            <w:r>
              <w:rPr>
                <w:b/>
                <w:bCs/>
                <w:color w:val="B45309"/>
                <w:sz w:val="20"/>
                <w:szCs w:val="20"/>
              </w:rPr>
              <w:t xml:space="preserve">Needed to complete this schedule:</w:t>
            </w:r>
          </w:p>
          <w:p>
            <w:pPr>
              <w:pStyle w:val="ListParagraph"/>
              <w:numPr>
                <w:ilvl w:val="0"/>
                <w:numId w:val="2"/>
              </w:numPr>
              <w:spacing w:after="60"/>
            </w:pPr>
            <w:r>
              <w:rPr>
                <w:sz w:val="20"/>
                <w:szCs w:val="20"/>
              </w:rPr>
              <w:t xml:space="preserve">Confirm Rentec Design Studio is still used, or drop it if fully retired</w:t>
            </w:r>
          </w:p>
          <w:p>
            <w:pPr>
              <w:pStyle w:val="ListParagraph"/>
              <w:numPr>
                <w:ilvl w:val="0"/>
                <w:numId w:val="2"/>
              </w:numPr>
              <w:spacing w:after="60"/>
            </w:pPr>
            <w:r>
              <w:rPr>
                <w:sz w:val="20"/>
                <w:szCs w:val="20"/>
              </w:rPr>
              <w:t xml:space="preserve">Confirm two titles with uncertain publishing status — Peterstown NJ and Pride of North Plainfield — are or are not active trade names today</w:t>
            </w:r>
          </w:p>
          <w:p>
            <w:pPr>
              <w:pStyle w:val="ListParagraph"/>
              <w:numPr>
                <w:ilvl w:val="0"/>
                <w:numId w:val="2"/>
              </w:numPr>
              <w:spacing w:after="60"/>
            </w:pPr>
            <w:r>
              <w:rPr>
                <w:sz w:val="20"/>
                <w:szCs w:val="20"/>
              </w:rPr>
              <w:t xml:space="preserve">Flag any interstate-commerce angle via the website, per counsel's note on potential federal trademark exposure</w:t>
            </w:r>
          </w:p>
        </w:tc>
      </w:tr>
    </w:tbl>
    <w:p>
      <w:pPr>
        <w:pageBreakBefore/>
        <w:spacing w:after="40"/>
      </w:pPr>
      <w:r>
        <w:rPr>
          <w:b/>
          <w:bCs/>
          <w:color w:val="1F4E79"/>
          <w:sz w:val="22"/>
          <w:szCs w:val="22"/>
        </w:rPr>
        <w:t xml:space="preserve">Schedule 4.10</w:t>
      </w:r>
    </w:p>
    <w:p>
      <w:pPr>
        <w:pStyle w:val="Heading1"/>
        <w:spacing w:after="160"/>
      </w:pPr>
      <w:r>
        <w:t xml:space="preserve">Seller's Financial Statements</w:t>
      </w:r>
    </w:p>
    <w:p>
      <w:pPr>
        <w:pBdr>
          <w:bottom w:val="single" w:color="DDDDDD" w:sz="4" w:space="4"/>
        </w:pBdr>
        <w:spacing w:after="200"/>
      </w:pPr>
      <w:r>
        <w:rPr>
          <w:b/>
          <w:bCs/>
          <w:color w:val="B45309"/>
          <w:sz w:val="18"/>
          <w:szCs w:val="18"/>
        </w:rPr>
        <w:t xml:space="preserve">STATUS: </w:t>
      </w:r>
      <w:r>
        <w:rPr>
          <w:i/>
          <w:iCs/>
          <w:color w:val="666666"/>
          <w:sz w:val="18"/>
          <w:szCs w:val="18"/>
        </w:rPr>
        <w:t xml:space="preserve">Summary financials known from the CIM/tax-return review; the actual statements to attach have not been finalized (missing support for several months).</w:t>
      </w:r>
    </w:p>
    <w:p>
      <w:pPr>
        <w:spacing w:after="120"/>
      </w:pPr>
      <w:r>
        <w:rPr>
          <w:b w:val="false"/>
          <w:bCs w:val="false"/>
          <w:i w:val="false"/>
          <w:iCs w:val="false"/>
          <w:sz w:val="20"/>
          <w:szCs w:val="20"/>
        </w:rPr>
        <w:t xml:space="preserve">Summary financial performance (tax returns, accrual basis) for reference — the actual attached exhibit should be Seller's real financial statements, not this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Year</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Revenue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COGS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Gross Profit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SDE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SDE %</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2022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$1,100,377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$774,625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$325,752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$185,883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16.9%</w:t>
            </w:r>
          </w:p>
        </w:tc>
      </w:tr>
      <w:tr>
        <w:tc>
          <w:tcPr>
            <w:tcW w:type="dxa" w:w="1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2023</w:t>
            </w:r>
          </w:p>
        </w:tc>
        <w:tc>
          <w:tcPr>
            <w:tcW w:type="dxa" w:w="1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$998,166</w:t>
            </w:r>
          </w:p>
        </w:tc>
        <w:tc>
          <w:tcPr>
            <w:tcW w:type="dxa" w:w="1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$695,389</w:t>
            </w:r>
          </w:p>
        </w:tc>
        <w:tc>
          <w:tcPr>
            <w:tcW w:type="dxa" w:w="1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$302,777</w:t>
            </w:r>
          </w:p>
        </w:tc>
        <w:tc>
          <w:tcPr>
            <w:tcW w:type="dxa" w:w="1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$151,255</w:t>
            </w:r>
          </w:p>
        </w:tc>
        <w:tc>
          <w:tcPr>
            <w:tcW w:type="dxa" w:w="1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15.2%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2024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$948,027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$740,501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$207,526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$89,716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9.5%</w:t>
            </w:r>
          </w:p>
        </w:tc>
      </w:tr>
      <w:tr>
        <w:tc>
          <w:tcPr>
            <w:tcW w:type="dxa" w:w="1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2025</w:t>
            </w:r>
          </w:p>
        </w:tc>
        <w:tc>
          <w:tcPr>
            <w:tcW w:type="dxa" w:w="1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$1,060,889</w:t>
            </w:r>
          </w:p>
        </w:tc>
        <w:tc>
          <w:tcPr>
            <w:tcW w:type="dxa" w:w="1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$809,063</w:t>
            </w:r>
          </w:p>
        </w:tc>
        <w:tc>
          <w:tcPr>
            <w:tcW w:type="dxa" w:w="1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$251,826</w:t>
            </w:r>
          </w:p>
        </w:tc>
        <w:tc>
          <w:tcPr>
            <w:tcW w:type="dxa" w:w="1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$179,157</w:t>
            </w:r>
          </w:p>
        </w:tc>
        <w:tc>
          <w:tcPr>
            <w:tcW w:type="dxa" w:w="1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16.9%</w:t>
            </w:r>
          </w:p>
        </w:tc>
      </w:tr>
    </w:tbl>
    <w:p>
      <w:pPr>
        <w:spacing w:after="120"/>
      </w:pPr>
      <w:r>
        <w:rPr>
          <w:b w:val="false"/>
          <w:bCs w:val="false"/>
          <w:i w:val="false"/>
          <w:iCs w:val="false"/>
          <w:sz w:val="20"/>
          <w:szCs w:val="20"/>
        </w:rPr>
        <w:t xml:space="preserve">This exhibit should attach: (1) tax returns for 2022–2025, all schedules; (2) accrual-basis P&amp;L for the same period; (3) 2026 monthly financials through the most recent closed month; (4) the seller's accrual reconstruction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7" w:val="clear"/>
            <w:tcMar>
              <w:top w:type="dxa" w:w="120"/>
              <w:left w:type="dxa" w:w="200"/>
              <w:bottom w:type="dxa" w:w="120"/>
              <w:right w:type="dxa" w:w="200"/>
            </w:tcMar>
          </w:tcPr>
          <w:p>
            <w:pPr>
              <w:spacing w:after="80" w:before="120"/>
            </w:pPr>
            <w:r>
              <w:rPr>
                <w:b/>
                <w:bCs/>
                <w:color w:val="B45309"/>
                <w:sz w:val="20"/>
                <w:szCs w:val="20"/>
              </w:rPr>
              <w:t xml:space="preserve">Needed to complete this schedule:</w:t>
            </w:r>
          </w:p>
          <w:p>
            <w:pPr>
              <w:pStyle w:val="ListParagraph"/>
              <w:numPr>
                <w:ilvl w:val="0"/>
                <w:numId w:val="2"/>
              </w:numPr>
              <w:spacing w:after="60"/>
            </w:pPr>
            <w:r>
              <w:rPr>
                <w:sz w:val="20"/>
                <w:szCs w:val="20"/>
              </w:rPr>
              <w:t xml:space="preserve">Complete tax returns 2022–2025 (all schedules)</w:t>
            </w:r>
          </w:p>
          <w:p>
            <w:pPr>
              <w:pStyle w:val="ListParagraph"/>
              <w:numPr>
                <w:ilvl w:val="0"/>
                <w:numId w:val="2"/>
              </w:numPr>
              <w:spacing w:after="60"/>
            </w:pPr>
            <w:r>
              <w:rPr>
                <w:sz w:val="20"/>
                <w:szCs w:val="20"/>
              </w:rPr>
              <w:t xml:space="preserve">Seller's accrual P&amp;L reconstruction workbook, plus any supporting tabs/formulas</w:t>
            </w:r>
          </w:p>
          <w:p>
            <w:pPr>
              <w:pStyle w:val="ListParagraph"/>
              <w:numPr>
                <w:ilvl w:val="0"/>
                <w:numId w:val="2"/>
              </w:numPr>
              <w:spacing w:after="60"/>
            </w:pPr>
            <w:r>
              <w:rPr>
                <w:sz w:val="20"/>
                <w:szCs w:val="20"/>
              </w:rPr>
              <w:t xml:space="preserve">Missing postage support for Feb 2025, Mar 2025, Nov 2025, and May 2026 (still outstanding as of the last diligence sync)</w:t>
            </w:r>
          </w:p>
          <w:p>
            <w:pPr>
              <w:pStyle w:val="ListParagraph"/>
              <w:numPr>
                <w:ilvl w:val="0"/>
                <w:numId w:val="2"/>
              </w:numPr>
              <w:spacing w:after="60"/>
            </w:pPr>
            <w:r>
              <w:rPr>
                <w:sz w:val="20"/>
                <w:szCs w:val="20"/>
              </w:rPr>
              <w:t xml:space="preserve">Updated 2026 monthly financials through the latest closed month</w:t>
            </w:r>
          </w:p>
          <w:p>
            <w:pPr>
              <w:pStyle w:val="ListParagraph"/>
              <w:numPr>
                <w:ilvl w:val="0"/>
                <w:numId w:val="2"/>
              </w:numPr>
              <w:spacing w:after="60"/>
            </w:pPr>
            <w:r>
              <w:rPr>
                <w:sz w:val="20"/>
                <w:szCs w:val="20"/>
              </w:rPr>
              <w:t xml:space="preserve">Resolution of the ~$3K postage discrepancy between Joe's and Cheryl's figures</w:t>
            </w:r>
          </w:p>
        </w:tc>
      </w:tr>
    </w:tbl>
    <w:p>
      <w:pPr>
        <w:pageBreakBefore/>
        <w:spacing w:after="40"/>
      </w:pPr>
      <w:r>
        <w:rPr>
          <w:b/>
          <w:bCs/>
          <w:color w:val="1F4E79"/>
          <w:sz w:val="22"/>
          <w:szCs w:val="22"/>
        </w:rPr>
        <w:t xml:space="preserve">Schedule 4.17(b)</w:t>
      </w:r>
    </w:p>
    <w:p>
      <w:pPr>
        <w:pStyle w:val="Heading1"/>
        <w:spacing w:after="160"/>
      </w:pPr>
      <w:r>
        <w:t xml:space="preserve">Map of Renna Media Publishing Territories</w:t>
      </w:r>
    </w:p>
    <w:p>
      <w:pPr>
        <w:pBdr>
          <w:bottom w:val="single" w:color="DDDDDD" w:sz="4" w:space="4"/>
        </w:pBdr>
        <w:spacing w:after="200"/>
      </w:pPr>
      <w:r>
        <w:rPr>
          <w:b/>
          <w:bCs/>
          <w:color w:val="B45309"/>
          <w:sz w:val="18"/>
          <w:szCs w:val="18"/>
        </w:rPr>
        <w:t xml:space="preserve">STATUS: </w:t>
      </w:r>
      <w:r>
        <w:rPr>
          <w:i/>
          <w:iCs/>
          <w:color w:val="666666"/>
          <w:sz w:val="18"/>
          <w:szCs w:val="18"/>
        </w:rPr>
        <w:t xml:space="preserve">Town/ZIP/county list is solid, sourced from the current rate card. A visual map graphic still needs to be produced as the actual exhibit.</w:t>
      </w:r>
    </w:p>
    <w:p>
      <w:pPr>
        <w:spacing w:after="120"/>
      </w:pPr>
      <w:r>
        <w:rPr>
          <w:b w:val="false"/>
          <w:bCs w:val="false"/>
          <w:i w:val="false"/>
          <w:iCs w:val="false"/>
          <w:sz w:val="20"/>
          <w:szCs w:val="20"/>
        </w:rPr>
        <w:t xml:space="preserve">Renna Media publishes 30 hyper-local monthly newspapers, direct-mailed to every home and business in each covered town (~206,000 total monthly mailings) across Essex, Morris, Union, and Somerset Counties, New Jersey. The table below is the authoritative town list underlying the exhibit; the final schedule should present this as a visual coverage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3200"/>
        <w:gridCol w:w="1600"/>
      </w:tblGrid>
      <w:tr>
        <w:trPr>
          <w:tblHeader/>
        </w:trPr>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Publication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ZIP Code(s)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County</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Berkeley Heights News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07922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Union</w:t>
            </w:r>
          </w:p>
        </w:tc>
      </w:tr>
      <w:tr>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The Chathams</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07928</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Morris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Clark Monthly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07066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Union</w:t>
            </w:r>
          </w:p>
        </w:tc>
      </w:tr>
      <w:tr>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Cranford Monthly</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07016</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Union</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East Hanover 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07936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Morris</w:t>
            </w:r>
          </w:p>
        </w:tc>
      </w:tr>
      <w:tr>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Elmora Hills</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07208 (section of Elizabeth)</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Union</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Fanwood 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07023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Union</w:t>
            </w:r>
          </w:p>
        </w:tc>
      </w:tr>
      <w:tr>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Florham Park Press</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07932</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Morris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Garwood Times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07027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Union</w:t>
            </w:r>
          </w:p>
        </w:tc>
      </w:tr>
      <w:tr>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Green Brook Gazette</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08812</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Somerset</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Hanover Township Press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07927 / 07981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Morris</w:t>
            </w:r>
          </w:p>
        </w:tc>
      </w:tr>
      <w:tr>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Kenilworth Business Life</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07033</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Union</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Life in Linden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07036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Union</w:t>
            </w:r>
          </w:p>
        </w:tc>
      </w:tr>
      <w:tr>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Livingston Monthly</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07039</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Essex</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Long Hill Leader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07933, 07946, 07980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Morris</w:t>
            </w:r>
          </w:p>
        </w:tc>
      </w:tr>
      <w:tr>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Madison Monthly</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07940</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Morris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Millburn Short Hills Monthly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07041, 07078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Essex</w:t>
            </w:r>
          </w:p>
        </w:tc>
      </w:tr>
      <w:tr>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Morris Township Times</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07960 (Morris Twp portion)</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Morris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Morristown Monthly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07960 (Morristown portion)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Morris</w:t>
            </w:r>
          </w:p>
        </w:tc>
      </w:tr>
      <w:tr>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Mountainside View</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07092</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Union</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New Providence News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07974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Union</w:t>
            </w:r>
          </w:p>
        </w:tc>
      </w:tr>
      <w:tr>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Our Town Rahway</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07065</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Union</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Life in Roseland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07068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Essex</w:t>
            </w:r>
          </w:p>
        </w:tc>
      </w:tr>
      <w:tr>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Roselle Park Monthly</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07204</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Union</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Scotch Plains Monthly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07076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Union</w:t>
            </w:r>
          </w:p>
        </w:tc>
      </w:tr>
      <w:tr>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Summit Times</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07901</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Union</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Spirit of Union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07083 (partial)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Union</w:t>
            </w:r>
          </w:p>
        </w:tc>
      </w:tr>
      <w:tr>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Warren Monthly</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07059</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Somerset</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Watchung 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07069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18"/>
                <w:szCs w:val="18"/>
              </w:rPr>
              <w:t xml:space="preserve">Somerset</w:t>
            </w:r>
          </w:p>
        </w:tc>
      </w:tr>
      <w:tr>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Westfield Monthly</w:t>
            </w:r>
          </w:p>
        </w:tc>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07090</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i w:val="false"/>
                <w:iCs w:val="false"/>
                <w:sz w:val="18"/>
                <w:szCs w:val="18"/>
              </w:rPr>
              <w:t xml:space="preserve">Union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7" w:val="clear"/>
            <w:tcMar>
              <w:top w:type="dxa" w:w="120"/>
              <w:left w:type="dxa" w:w="200"/>
              <w:bottom w:type="dxa" w:w="120"/>
              <w:right w:type="dxa" w:w="200"/>
            </w:tcMar>
          </w:tcPr>
          <w:p>
            <w:pPr>
              <w:spacing w:after="80" w:before="120"/>
            </w:pPr>
            <w:r>
              <w:rPr>
                <w:b/>
                <w:bCs/>
                <w:color w:val="B45309"/>
                <w:sz w:val="20"/>
                <w:szCs w:val="20"/>
              </w:rPr>
              <w:t xml:space="preserve">Needed to complete this schedule:</w:t>
            </w:r>
          </w:p>
          <w:p>
            <w:pPr>
              <w:pStyle w:val="ListParagraph"/>
              <w:numPr>
                <w:ilvl w:val="0"/>
                <w:numId w:val="2"/>
              </w:numPr>
              <w:spacing w:after="60"/>
            </w:pPr>
            <w:r>
              <w:rPr>
                <w:sz w:val="20"/>
                <w:szCs w:val="20"/>
              </w:rPr>
              <w:t xml:space="preserve">Produce the actual visual map graphic (county/town shading or pin map) for the exhibit — the table above is ready to hand to whoever builds it</w:t>
            </w:r>
          </w:p>
          <w:p>
            <w:pPr>
              <w:pStyle w:val="ListParagraph"/>
              <w:numPr>
                <w:ilvl w:val="0"/>
                <w:numId w:val="2"/>
              </w:numPr>
              <w:spacing w:after="60"/>
            </w:pPr>
            <w:r>
              <w:rPr>
                <w:sz w:val="20"/>
                <w:szCs w:val="20"/>
              </w:rPr>
              <w:t xml:space="preserve">Confirm current status of Peterstown NJ and Pride of North Plainfield, which appear on the company website but show no recent publication activity</w:t>
            </w:r>
          </w:p>
          <w:p>
            <w:pPr>
              <w:pStyle w:val="ListParagraph"/>
              <w:numPr>
                <w:ilvl w:val="0"/>
                <w:numId w:val="2"/>
              </w:numPr>
              <w:spacing w:after="60"/>
            </w:pPr>
            <w:r>
              <w:rPr>
                <w:sz w:val="20"/>
                <w:szCs w:val="20"/>
              </w:rPr>
              <w:t xml:space="preserve">Confirm Cranford Monthly's 2026 publishing status (archive showed no 2026 issues as of last check)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Schedules to Asset Purchase Agreement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2026-07-09T12:28:17.669Z</dcterms:created>
  <dcterms:modified xsi:type="dcterms:W3CDTF">2026-07-09T12:28:17.669Z</dcterms:modified>
</cp:coreProperties>
</file>

<file path=docProps/custom.xml><?xml version="1.0" encoding="utf-8"?>
<Properties xmlns="http://schemas.openxmlformats.org/officeDocument/2006/custom-properties" xmlns:vt="http://schemas.openxmlformats.org/officeDocument/2006/docPropsVTypes"/>
</file>