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LaunchPad — Tradewinds Submission</w:t>
      </w:r>
    </w:p>
    <w:p>
      <w:pPr>
        <w:pStyle w:val="Subtitle"/>
      </w:pPr>
      <w:r>
        <w:t xml:space="preserve">Strategy &amp; Plan  |  Tradewinds Solutions Marketplace (TSM) video submission</w:t>
      </w:r>
    </w:p>
    <w:p>
      <w:r>
        <w:rPr>
          <w:b/>
          <w:bCs/>
        </w:rPr>
        <w:t xml:space="preserve">Prepared for: </w:t>
      </w:r>
      <w:r>
        <w:t xml:space="preserve">Matt Shankle, Packaged Agile, LLC</w:t>
      </w:r>
    </w:p>
    <w:p>
      <w:r>
        <w:rPr>
          <w:b/>
          <w:bCs/>
        </w:rPr>
        <w:t xml:space="preserve">Solution: </w:t>
      </w:r>
      <w:r>
        <w:t xml:space="preserve">LaunchPad — governable AI use-case intake &amp; decision support (Packaged Agile IP)</w:t>
      </w:r>
    </w:p>
    <w:p>
      <w:r>
        <w:rPr>
          <w:b/>
          <w:bCs/>
        </w:rPr>
        <w:t xml:space="preserve">TSM Announcement: </w:t>
      </w:r>
      <w:r>
        <w:t xml:space="preserve">v10.0, effective May 1, 2026  |  Open call window May 1, 2026 – May 31, 2027</w:t>
      </w:r>
    </w:p>
    <w:p>
      <w:pPr>
        <w:pStyle w:val="Heading1"/>
      </w:pPr>
      <w:r>
        <w:t xml:space="preserve">1. Bottom line</w:t>
      </w:r>
    </w:p>
    <w:p>
      <w:r>
        <w:t xml:space="preserve">This is a single-solution, post-competition video pitch for LaunchPad. The video must run no longer than 5:00, address four required content elements, and avoid any restrictive markings beyond a copyright notice. The strategy below is built backward from how TSM actually scores submissions.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2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Recommendation &amp; why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Positioning</w:t>
            </w:r>
          </w:p>
        </w:tc>
        <w:tc>
          <w:tcPr>
            <w:tcW w:type="dxa" w:w="6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LaunchPad solo, as Packaged Agile-owned IP. TSM requires one solution per video; keeping Digital.ai out avoids splitting airtime and keeps the award squarely on the product we control.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Predominant focus area</w:t>
            </w:r>
          </w:p>
        </w:tc>
        <w:tc>
          <w:tcPr>
            <w:tcW w:type="dxa" w:w="6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Streamlining business processes. It is the honest fit (LaunchPad cuts manual intake and triage and governs the AI-idea process) and surfaces the solution to the broadest set of process owners. Note in the abstract that it also touches Frontier AI and digital-age workforce.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Technology Readiness Level</w:t>
            </w:r>
          </w:p>
        </w:tc>
        <w:tc>
          <w:tcPr>
            <w:tcW w:type="dxa" w:w="6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TRL 7 — a fully functional system prototype demonstrated in an operational-like environment. The TRL does not affect awardability; it signals the funding we seek (pilot to production). TRL 6 is the conservative fallback; TRL 8+ would imply an ATO we do not yet hold.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Video format</w:t>
            </w:r>
          </w:p>
        </w:tc>
        <w:tc>
          <w:tcPr>
            <w:tcW w:type="dxa" w:w="6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Live screen recording of LaunchPad with voiceover, bookended by short motion-graphic title cards. TRL 6–9 submissions are expected to show a demonstration; a live walkthrough is the strongest possible proof.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Submission type</w:t>
            </w:r>
          </w:p>
        </w:tc>
        <w:tc>
          <w:tcPr>
            <w:tcW w:type="dxa" w:w="6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New TSM Submission (first-time submission).</w:t>
            </w:r>
          </w:p>
        </w:tc>
      </w:tr>
    </w:tbl>
    <w:p>
      <w:pPr>
        <w:pStyle w:val="Heading1"/>
      </w:pPr>
      <w:r>
        <w:t xml:space="preserve">2. How TSM scores — and how this video wins each criterion</w:t>
      </w:r>
    </w:p>
    <w:p>
      <w:r>
        <w:t xml:space="preserve">Assessors rate the video against a published rubric and rate it awardable or non-awardable. The weights below drive how we spend the five minutes: most of the time goes to Accelerating the Mission and Advancing the State of the Art.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000"/>
        <w:gridCol w:w="5570"/>
      </w:tblGrid>
      <w:tr>
        <w:trPr>
          <w:tblHeader/>
        </w:trP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How the video earns an Outstanding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1. Defining the Problem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Frame a government-wide problem (ungoverned, scattered AI intake plus late-stage policy checks), not a single-agency one. Anchor it to OMB's 2025 AI guidance (M-25-21: annual AI use-case inventory + per-use-case risk review) so it reads as sourced, not asserted.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2. Accelerating the Mission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5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Live walkthrough showing the solution end to end: problem-first intake, Scout coaching, built-in policy disclosures, readiness scoring, reviewer loop, and the Decision Center. Tie each to the focus area and cite the quantified value.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 Advancing the State of the Art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W w:type="dxa" w:w="5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Name the alternatives (forms, chatbots, spreadsheets, heavy COTS) and why each is worse; show the innovation (domain intelligence at intake plus governance by design); anchor credibility in the working live demo plus Packaged Agile's REAL delivered results at the Army, VA, and USDA. Do not claim any customer adoption that has not happened — the on-screen content is demo data only.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 Business Model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5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State a clear, viable model (PA-owned commercial product; fixed-price license plus fixed-price deployment; same for commercial and government; GSA + HUBZone; pilot-first). No rates.</w:t>
            </w:r>
          </w:p>
        </w:tc>
      </w:tr>
    </w:tbl>
    <w:p>
      <w:pPr>
        <w:pStyle w:val="Heading1"/>
      </w:pPr>
      <w:r>
        <w:t xml:space="preserve">3. The four required content elements — mapping</w:t>
      </w:r>
    </w:p>
    <w:p>
      <w:r>
        <w:t xml:space="preserve">Every TSM video must address these four elements. The script covers them in order; this is where each lives: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Defining the Problem — </w:t>
      </w:r>
      <w:r>
        <w:t xml:space="preserve">0:12–0:55. Scattered AI intake and late policy checks across agencies and commands.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Accelerating the Mission — </w:t>
      </w:r>
      <w:r>
        <w:t xml:space="preserve">0:55–3:28. The live LaunchPad walkthrough, mapped to Streamlining business processes.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Advancing the State of the Art — </w:t>
      </w:r>
      <w:r>
        <w:t xml:space="preserve">3:28–4:20. Innovation, alternatives, customers, and measurable impact.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Model — </w:t>
      </w:r>
      <w:r>
        <w:t xml:space="preserve">4:20–4:42. Commercial model, ordering vehicles, pilot-first. No pricing rates (prohibited).</w:t>
      </w:r>
    </w:p>
    <w:p>
      <w:pPr>
        <w:pStyle w:val="Heading1"/>
      </w:pPr>
      <w:r>
        <w:t xml:space="preserve">4. Timing budget</w:t>
      </w:r>
    </w:p>
    <w:p>
      <w:r>
        <w:t xml:space="preserve">Narration totals </w:t>
      </w:r>
      <w:r>
        <w:rPr>
          <w:b/>
          <w:bCs/>
        </w:rPr>
        <w:t xml:space="preserve">653 words</w:t>
      </w:r>
      <w:r>
        <w:t xml:space="preserve">, about 4:44 at a measured 138 words per minute (the same pace as the awardable GIDE video). That leaves roughly 10–20 seconds of buffer under the 5:00 hard cap for visual beats. Do not exceed 5:00 — an over-length video is returned as non-compliant.</w:t>
      </w:r>
    </w:p>
    <w:p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2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5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Open / title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~0:12</w:t>
            </w:r>
          </w:p>
        </w:tc>
        <w:tc>
          <w:tcPr>
            <w:tcW w:type="dxa" w:w="5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Branded card; one spoken line.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Defining the Problem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~0:43</w:t>
            </w:r>
          </w:p>
        </w:tc>
        <w:tc>
          <w:tcPr>
            <w:tcW w:type="dxa" w:w="5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Motion graphic only; no app.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Accelerating the Mission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~2:33</w:t>
            </w:r>
          </w:p>
        </w:tc>
        <w:tc>
          <w:tcPr>
            <w:tcW w:type="dxa" w:w="5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Live screen recording — the core demo.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Advancing the State of the Art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~0:52</w:t>
            </w:r>
          </w:p>
        </w:tc>
        <w:tc>
          <w:tcPr>
            <w:tcW w:type="dxa" w:w="5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Comparison + architecture + impact graphics.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Business Model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~0:22</w:t>
            </w:r>
          </w:p>
        </w:tc>
        <w:tc>
          <w:tcPr>
            <w:tcW w:type="dxa" w:w="5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Single model graphic.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Close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~0:13</w:t>
            </w:r>
          </w:p>
        </w:tc>
        <w:tc>
          <w:tcPr>
            <w:tcW w:type="dxa" w:w="5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Branded card with contact + copyright.</w:t>
            </w:r>
          </w:p>
        </w:tc>
      </w:tr>
    </w:tbl>
    <w:p>
      <w:pPr>
        <w:pStyle w:val="Heading1"/>
      </w:pPr>
      <w:r>
        <w:t xml:space="preserve">5. Compliance checklist (do not skip)</w:t>
      </w:r>
    </w:p>
    <w:p>
      <w:pPr>
        <w:pStyle w:val="ListParagraph"/>
        <w:numPr>
          <w:ilvl w:val="0"/>
          <w:numId w:val="2"/>
        </w:numPr>
      </w:pPr>
      <w:r>
        <w:t xml:space="preserve">Length 5:00 maximum. Record narration to land at or before 4:50.</w:t>
      </w:r>
    </w:p>
    <w:p>
      <w:pPr>
        <w:pStyle w:val="ListParagraph"/>
        <w:numPr>
          <w:ilvl w:val="0"/>
          <w:numId w:val="2"/>
        </w:numPr>
      </w:pPr>
      <w:r>
        <w:t xml:space="preserve">Resolution HD 1920x1080; export as .mp4 under 1.0 GB; color space Rec709 or sRGB.</w:t>
      </w:r>
    </w:p>
    <w:p>
      <w:pPr>
        <w:pStyle w:val="ListParagraph"/>
        <w:numPr>
          <w:ilvl w:val="0"/>
          <w:numId w:val="2"/>
        </w:numPr>
      </w:pPr>
      <w:r>
        <w:t xml:space="preserve">No restrictive markings of any kind except a valid copyright notice (e.g., “© 2026 Packaged Agile, LLC”). No FOUO/CUI/proprietary/draft watermarks.</w:t>
      </w:r>
    </w:p>
    <w:p>
      <w:pPr>
        <w:pStyle w:val="ListParagraph"/>
        <w:numPr>
          <w:ilvl w:val="0"/>
          <w:numId w:val="2"/>
        </w:numPr>
      </w:pPr>
      <w:r>
        <w:t xml:space="preserve">Unclassified only. No PII, no CUI, no export-controlled content, no non-public pricing or rates.</w:t>
      </w:r>
    </w:p>
    <w:p>
      <w:pPr>
        <w:pStyle w:val="ListParagraph"/>
        <w:numPr>
          <w:ilvl w:val="0"/>
          <w:numId w:val="2"/>
        </w:numPr>
      </w:pPr>
      <w:r>
        <w:t xml:space="preserve">Audio is clear and any on-screen text/graphics are legible at 1080p.</w:t>
      </w:r>
    </w:p>
    <w:p>
      <w:pPr>
        <w:pStyle w:val="ListParagraph"/>
        <w:numPr>
          <w:ilvl w:val="0"/>
          <w:numId w:val="2"/>
        </w:numPr>
      </w:pPr>
      <w:r>
        <w:t xml:space="preserve">Single solution only — LaunchPad. (Other solutions would each need their own video.)</w:t>
      </w:r>
    </w:p>
    <w:p>
      <w:pPr>
        <w:pStyle w:val="ListParagraph"/>
        <w:numPr>
          <w:ilvl w:val="0"/>
          <w:numId w:val="2"/>
        </w:numPr>
      </w:pPr>
      <w:r>
        <w:t xml:space="preserve">Submit at www.tradewindai.com; the form is completed during upload. Submit before noon EST on the final day of the chosen monthly collection period (do not wait until the last day).</w:t>
      </w:r>
    </w:p>
    <w:p>
      <w:pPr>
        <w:pStyle w:val="Heading1"/>
      </w:pPr>
      <w:r>
        <w:t xml:space="preserve">6. Confirm before you submit</w:t>
      </w:r>
    </w:p>
    <w:p>
      <w:pPr>
        <w:pStyle w:val="ListParagraph"/>
        <w:numPr>
          <w:ilvl w:val="0"/>
          <w:numId w:val="2"/>
        </w:numPr>
      </w:pPr>
      <w:r>
        <w:t xml:space="preserve">UEI: enter Packaged Agile's 12-character SAM.gov Unique Entity ID (the company profile lists CAGE 3R6F0 and legacy DUNS 144149213, not the UEI). Pull the current UEI from SAM.gov.</w:t>
      </w:r>
    </w:p>
    <w:p>
      <w:pPr>
        <w:pStyle w:val="ListParagraph"/>
        <w:numPr>
          <w:ilvl w:val="0"/>
          <w:numId w:val="2"/>
        </w:numPr>
      </w:pPr>
      <w:r>
        <w:t xml:space="preserve">Confirm the demo build shows Scout returning real, specific answers (if the model key is not live in the recording environment, Scout falls back to generic text).</w:t>
      </w:r>
    </w:p>
    <w:p>
      <w:pPr>
        <w:pStyle w:val="ListParagraph"/>
        <w:numPr>
          <w:ilvl w:val="0"/>
          <w:numId w:val="2"/>
        </w:numPr>
      </w:pPr>
      <w:r>
        <w:t xml:space="preserve">Pre-generate one executive briefing in the Decision Center before recording — it is the slowest call (~20s).</w:t>
      </w:r>
    </w:p>
    <w:p>
      <w:pPr>
        <w:pStyle w:val="ListParagraph"/>
        <w:numPr>
          <w:ilvl w:val="0"/>
          <w:numId w:val="2"/>
        </w:numPr>
      </w:pPr>
      <w:r>
        <w:t xml:space="preserve">Keep the 508/accessibility language honest: “built to WCAG 2.0 AA / Section 508,” with VPAT and Trusted Tester as part of standing it up. Do not claim “fully 508 compliant” on screen or in narration.</w:t>
      </w:r>
    </w:p>
    <w:p>
      <w:pPr>
        <w:pStyle w:val="ListParagraph"/>
        <w:numPr>
          <w:ilvl w:val="0"/>
          <w:numId w:val="2"/>
        </w:numPr>
      </w:pPr>
      <w:r>
        <w:t xml:space="preserve">Security claims — state them honestly. FedRAMP High / DoD IL4-5 is real and current for the commercial models on Amazon Bedrock in AWS GovCloud (verified) — present it as a Bedrock platform fact, not as LaunchPad being authorized. LaunchPad's in-boundary deployment, SSO/PIV-CAC, and row-level security are its deployment design; today's build is demo-grade, so say 'built to,' not 'is.' Do not name a specific AI model vendor in the video.</w:t>
      </w:r>
    </w:p>
    <w:sectPr>
      <w:footerReference w:type="default" r:id="rId7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LaunchPad TSM — Strategy &amp; Plan   •   Packaged Agile, LLC   •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Subtitle">
    <w:name w:val="Subtitle"/>
    <w:basedOn w:val="Normal"/>
    <w:next w:val="Normal"/>
    <w:pPr>
      <w:spacing w:after="240"/>
    </w:pPr>
    <w:rPr>
      <w:rFonts w:ascii="Arial" w:cs="Arial" w:eastAsia="Arial" w:hAnsi="Arial"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2026-06-16T15:54:24.677Z</dcterms:created>
  <dcterms:modified xsi:type="dcterms:W3CDTF">2026-06-16T15:54:24.677Z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