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LaunchPad — TSM Submission Form Field Values</w:t>
      </w:r>
    </w:p>
    <w:p>
      <w:pPr>
        <w:pStyle w:val="Subtitle"/>
      </w:pPr>
      <w:r>
        <w:t xml:space="preserve">Ready-to-enter values for the Tradewinds submission form (completed during video upload)</w:t>
      </w:r>
    </w:p>
    <w:p>
      <w:r>
        <w:rPr>
          <w:i/>
          <w:iCs/>
          <w:color w:val="595959"/>
        </w:rPr>
        <w:t xml:space="preserve">Values are drafted to be honest and defensible. Items marked CONFIRM need a quick check against SAM.gov or the live build before you submit.</w:t>
      </w:r>
    </w:p>
    <w:p>
      <w:pPr>
        <w:pStyle w:val="Heading1"/>
      </w:pPr>
      <w:r>
        <w:t xml:space="preserve">Entity &amp; classification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500"/>
        <w:gridCol w:w="582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Form field</w:t>
            </w:r>
          </w:p>
        </w:tc>
        <w:tc>
          <w:tcPr>
            <w:tcW w:type="dxa" w:w="58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Value to enter</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Organization Name</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Packaged Agile, LLC (match SAM.gov exactly)</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bCs/>
              </w:rPr>
              <w:t xml:space="preserve">Unique Entity ID (UEI)</w:t>
            </w:r>
          </w:p>
        </w:tc>
        <w:tc>
          <w:tcPr>
            <w:tcW w:type="dxa" w:w="582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r>
              <w:rPr>
                <w:b w:val="false"/>
                <w:bCs w:val="false"/>
              </w:rPr>
              <w:t xml:space="preserve">CONFIRM — enter PA's 12-char SAM.gov UEI (profile here lists CAGE 3R6F0, legacy DUNS 144149213, not the UEI)</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Business Size</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Small business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Small Business Program Designation(s)</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HUBZone (select all that match SAM.gov)</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Traditional / Non-Traditional</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Non-traditional (defaults for small business concerns)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Submission Type</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New TSM Submission</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Foreign Ownership, Control, or Influence (FOCI)</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No</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Country</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United States</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Address</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161 Fort Evans Road NE, Suite 210, Leesburg, VA 20176</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Website</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www.packagedagile.com</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Submission POC</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Matt Shankle — matt.shankle@packagedagile.com — (202) 871-0075</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Alternate POC</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CONFIRM — add a second PA contact (e.g., Brad, Dave, or Jess)</w:t>
            </w:r>
          </w:p>
        </w:tc>
      </w:tr>
    </w:tbl>
    <w:p>
      <w:pPr>
        <w:pStyle w:val="Heading1"/>
      </w:pPr>
      <w:r>
        <w:t xml:space="preserve">Solution classification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500"/>
        <w:gridCol w:w="582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Form field</w:t>
            </w:r>
          </w:p>
        </w:tc>
        <w:tc>
          <w:tcPr>
            <w:tcW w:type="dxa" w:w="58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Value to enter</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Current Technology Readiness Level</w:t>
            </w:r>
          </w:p>
        </w:tc>
        <w:tc>
          <w:tcPr>
            <w:tcW w:type="dxa" w:w="5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TRL 7 — system prototype demonstrated in an operational-like environment (TRL 6 is the conservative fallback)</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Relevant Strategic Focus Area</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Streamlining business processes</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rPr>
              <w:t xml:space="preserve">FedRAMP Status</w:t>
            </w:r>
          </w:p>
        </w:tc>
        <w:tc>
          <w:tcPr>
            <w:tcW w:type="dxa" w:w="582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r>
              <w:rPr>
                <w:b w:val="false"/>
                <w:bCs w:val="false"/>
              </w:rPr>
              <w:t xml:space="preserve">Not Applicable for Submitted Solution — LaunchPad is built to deploy inside the customer's existing accredited boundary; it is not a standalone FedRAMP-authorized SaaS. (The commercial models on Amazon Bedrock in GovCloud carry FedRAMP High / IL4-5; that is the platform, noted in the abstract.)</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bCs/>
              </w:rPr>
              <w:t xml:space="preserve">Authority to Operate (ATO)</w:t>
            </w:r>
          </w:p>
        </w:tc>
        <w:tc>
          <w:tcPr>
            <w:tcW w:type="dxa" w:w="582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r>
              <w:rPr>
                <w:b w:val="false"/>
                <w:bCs w:val="false"/>
              </w:rPr>
              <w:t xml:space="preserve">ATO Sponsor Required — ATO is granted within the customer's environment at deployment.</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rPr>
              <w:t xml:space="preserve">Impact Level (IL)</w:t>
            </w:r>
          </w:p>
        </w:tc>
        <w:tc>
          <w:tcPr>
            <w:tcW w:type="dxa" w:w="582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r>
              <w:rPr>
                <w:b w:val="false"/>
                <w:bCs w:val="false"/>
              </w:rPr>
              <w:t xml:space="preserve">Not Currently Authorized at Any Impact Level — designed for DoW IL4/IL5 via Bedrock in GovCloud at deployment.</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Facility Clearance Status (FCL)</w:t>
            </w:r>
          </w:p>
        </w:tc>
        <w:tc>
          <w:tcPr>
            <w:tcW w:type="dxa" w:w="5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CONFIRM — select PA's actual FCL status; if none, choose the no-clearance option</w:t>
            </w:r>
          </w:p>
        </w:tc>
      </w:tr>
    </w:tbl>
    <w:p>
      <w:pPr>
        <w:pStyle w:val="Heading1"/>
      </w:pPr>
      <w:r>
        <w:t xml:space="preserve">Video metadata</w:t>
      </w:r>
    </w:p>
    <w:p>
      <w:pPr>
        <w:pStyle w:val="Heading2"/>
      </w:pPr>
      <w:r>
        <w:t xml:space="preserve">Video Solution Title  (53 / 128 characters)</w:t>
      </w:r>
    </w:p>
    <w:p>
      <w:r>
        <w:rPr>
          <w:b/>
          <w:bCs/>
        </w:rPr>
        <w:t xml:space="preserve">LaunchPad: The Governable Front Door for AI Use Cases</w:t>
      </w:r>
    </w:p>
    <w:p>
      <w:pPr>
        <w:pStyle w:val="Heading2"/>
      </w:pPr>
      <w:r>
        <w:t xml:space="preserve">Related Keywords  (212 / 255 characters, 12 keywords)</w:t>
      </w:r>
    </w:p>
    <w:p>
      <w:r>
        <w:t xml:space="preserve">AI governance, AI use-case intake, responsible AI, AI readiness assessment, decision support, human-in-the-loop, shadow AI, AI portfolio management, Amazon Bedrock, AWS GovCloud, FedRAMP High, workflow automation</w:t>
      </w:r>
    </w:p>
    <w:p>
      <w:pPr>
        <w:pStyle w:val="Heading2"/>
      </w:pPr>
      <w:r>
        <w:t xml:space="preserve">Video Solutions Abstract  (1494 / 1,500 characters)</w:t>
      </w:r>
    </w:p>
    <w:p>
      <w:r>
        <w:t xml:space="preserve">LaunchPad is the governable front door for AI use cases. Across government, AI ideas arrive through email, SharePoint, and shadow tools, so leaders cannot see the pipeline, compare ideas, or confirm that policy-required questions were ever answered. LaunchPad replaces scattered intake with one workflow. Staff describe a problem first; an embedded AI coach named Scout — a U.S.-built commercial AI model on Amazon Bedrock, inside the customer's boundary — asks clarifying questions, drafts strategic alignment for review, and produces a structured, readiness-scored use case. The policy-mandated AI-risk disclosures are built into intake rather than bolted on. Reviewers get an advisory read and a risk panel, route ideas by business unit, and send questions back without losing the thread. A Decision Center compares candidates and generates an executive briefing of value, alignment, risk, and a recommendation for leadership. LaunchPad is built to deploy as a standard Next.js and Postgres web app inside the customer's accredited cloud, federating to existing identity providers with PIV or CAC and enforcing row-level security. On Amazon Bedrock in AWS GovCloud, the commercial models LaunchPad uses already carry FedRAMP High and DoD IL4/IL5 authorization. LaunchPad turns ungoverned shadow AI into a vetted, decision-ready pipeline. Packaged Agile owns it — a HUBZone-certified small business and GSA Schedule holder with delivered results on federal programs at the Army, VA, and USDA.</w:t>
      </w:r>
    </w:p>
    <w:p>
      <w:pPr>
        <w:pStyle w:val="Heading1"/>
      </w:pPr>
      <w:r>
        <w:t xml:space="preserve">Video file compliance</w:t>
      </w:r>
    </w:p>
    <w:p>
      <w:pPr>
        <w:pStyle w:val="ListParagraph"/>
        <w:numPr>
          <w:ilvl w:val="0"/>
          <w:numId w:val="2"/>
        </w:numPr>
      </w:pPr>
      <w:r>
        <w:t xml:space="preserve">Length 5:00 max  |  HD 1920x1080  |  .mp4 under 1.0 GB  |  Rec709 or sRGB</w:t>
      </w:r>
    </w:p>
    <w:p>
      <w:pPr>
        <w:pStyle w:val="ListParagraph"/>
        <w:numPr>
          <w:ilvl w:val="0"/>
          <w:numId w:val="2"/>
        </w:numPr>
      </w:pPr>
      <w:r>
        <w:t xml:space="preserve">Copyright notice only; no FOUO/CUI/proprietary/draft markings</w:t>
      </w:r>
    </w:p>
    <w:p>
      <w:pPr>
        <w:pStyle w:val="ListParagraph"/>
        <w:numPr>
          <w:ilvl w:val="0"/>
          <w:numId w:val="2"/>
        </w:numPr>
      </w:pPr>
      <w:r>
        <w:t xml:space="preserve">Unclassified; no PII, CUI, export-controlled content, or non-public pricing</w:t>
      </w:r>
    </w:p>
    <w:p>
      <w:pPr>
        <w:pStyle w:val="ListParagraph"/>
        <w:numPr>
          <w:ilvl w:val="0"/>
          <w:numId w:val="2"/>
        </w:numPr>
      </w:pPr>
      <w:r>
        <w:t xml:space="preserve">Covers all four content elements: Problem, Accelerating the Mission, Advancing the State of the Art, Business Model</w:t>
      </w:r>
    </w:p>
    <w:p>
      <w:pPr>
        <w:pStyle w:val="ListParagraph"/>
        <w:numPr>
          <w:ilvl w:val="0"/>
          <w:numId w:val="2"/>
        </w:numPr>
      </w:pPr>
      <w:r>
        <w:t xml:space="preserve">Submit at www.tradewindai.com before noon EST on the final day of the target monthly collection period</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LaunchPad TSM — Submission Form Field Values   •   Packaged Agile, LLC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4E79"/>
      <w:sz w:val="40"/>
      <w:szCs w:val="40"/>
    </w:rPr>
  </w:style>
  <w:style w:type="paragraph" w:styleId="Subtitle">
    <w:name w:val="Subtitle"/>
    <w:basedOn w:val="Normal"/>
    <w:next w:val="Normal"/>
    <w:pPr>
      <w:spacing w:after="240"/>
    </w:pPr>
    <w:rPr>
      <w:rFonts w:ascii="Arial" w:cs="Arial" w:eastAsia="Arial" w:hAnsi="Arial"/>
      <w:color w:val="595959"/>
      <w:sz w:val="24"/>
      <w:szCs w:val="24"/>
    </w:rPr>
  </w:style>
  <w:style w:type="paragraph" w:styleId="Heading1">
    <w:name w:val="Heading 1"/>
    <w:basedOn w:val="Normal"/>
    <w:next w:val="Normal"/>
    <w:qFormat/>
    <w:pPr>
      <w:pBdr>
        <w:bottom w:val="single" w:color="1F4E79" w:sz="6" w:space="2"/>
      </w:pBd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2026-06-16T15:54:24.780Z</dcterms:created>
  <dcterms:modified xsi:type="dcterms:W3CDTF">2026-06-16T15:54:24.780Z</dcterms:modified>
</cp:coreProperties>
</file>

<file path=docProps/custom.xml><?xml version="1.0" encoding="utf-8"?>
<Properties xmlns="http://schemas.openxmlformats.org/officeDocument/2006/custom-properties" xmlns:vt="http://schemas.openxmlformats.org/officeDocument/2006/docPropsVTypes"/>
</file>