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w:t>
      </w:r>
      <w:r>
        <w:t xml:space="preserve"> </w:t>
      </w:r>
      <w:r>
        <w:t xml:space="preserve">Urban</w:t>
      </w:r>
      <w:r>
        <w:t xml:space="preserve"> </w:t>
      </w:r>
      <w:r>
        <w:t xml:space="preserve">Heat</w:t>
      </w:r>
      <w:r>
        <w:t xml:space="preserve"> </w:t>
      </w:r>
      <w:r>
        <w:t xml:space="preserve">Islands</w:t>
      </w:r>
    </w:p>
    <w:p>
      <w:pPr>
        <w:pStyle w:val="Subtitle"/>
      </w:pPr>
      <w:r>
        <w:t xml:space="preserve">A</w:t>
      </w:r>
      <w:r>
        <w:t xml:space="preserve"> </w:t>
      </w:r>
      <w:r>
        <w:t xml:space="preserve">field</w:t>
      </w:r>
      <w:r>
        <w:t xml:space="preserve"> </w:t>
      </w:r>
      <w:r>
        <w:t xml:space="preserve">study</w:t>
      </w:r>
      <w:r>
        <w:t xml:space="preserve"> </w:t>
      </w:r>
      <w:r>
        <w:t xml:space="preserve">of</w:t>
      </w:r>
      <w:r>
        <w:t xml:space="preserve"> </w:t>
      </w:r>
      <w:r>
        <w:t xml:space="preserve">surface</w:t>
      </w:r>
      <w:r>
        <w:t xml:space="preserve"> </w:t>
      </w:r>
      <w:r>
        <w:t xml:space="preserve">temperatures</w:t>
      </w:r>
      <w:r>
        <w:t xml:space="preserve"> </w:t>
      </w:r>
      <w:r>
        <w:t xml:space="preserve">in</w:t>
      </w:r>
      <w:r>
        <w:t xml:space="preserve"> </w:t>
      </w:r>
      <w:r>
        <w:t xml:space="preserve">three</w:t>
      </w:r>
      <w:r>
        <w:t xml:space="preserve"> </w:t>
      </w:r>
      <w:r>
        <w:t xml:space="preserve">cities</w:t>
      </w:r>
    </w:p>
    <w:p>
      <w:pPr>
        <w:pStyle w:val="Author"/>
      </w:pPr>
      <w:r>
        <w:t xml:space="preserve">Ana</w:t>
      </w:r>
      <w:r>
        <w:t xml:space="preserve"> </w:t>
      </w:r>
      <w:r>
        <w:t xml:space="preserve">Ribeiro</w:t>
      </w:r>
    </w:p>
    <w:bookmarkStart w:id="20" w:name="abstract"/>
    <w:p>
      <w:pPr>
        <w:pStyle w:val="Heading1"/>
      </w:pPr>
      <w:r>
        <w:t xml:space="preserve">Abstract</w:t>
      </w:r>
    </w:p>
    <w:p>
      <w:pPr>
        <w:pStyle w:val="FirstParagraph"/>
      </w:pPr>
      <w:r>
        <w:t xml:space="preserve">Cities are warmer than the countryside around them. This report measures that difference in three cities over two summers, explains how the measurements were taken, and sets out what the data say about tree cover, building density and the materials of roads and roofs. The results suggest simple interventions that lower afternoon temperatures by up to two degrees.</w:t>
      </w:r>
    </w:p>
    <w:bookmarkEnd w:id="20"/>
    <w:bookmarkStart w:id="24" w:name="introduction"/>
    <w:p>
      <w:pPr>
        <w:pStyle w:val="Heading1"/>
      </w:pPr>
      <w:r>
        <w:t xml:space="preserve">Introduction</w:t>
      </w:r>
    </w:p>
    <w:p>
      <w:pPr>
        <w:pStyle w:val="FirstParagraph"/>
      </w:pPr>
      <w:r>
        <w:t xml:space="preserve">An</w:t>
      </w:r>
      <w:r>
        <w:t xml:space="preserve"> </w:t>
      </w:r>
      <w:r>
        <w:rPr>
          <w:iCs/>
          <w:i/>
        </w:rPr>
        <w:t xml:space="preserve">urban heat island</w:t>
      </w:r>
      <w:r>
        <w:t xml:space="preserve"> </w:t>
      </w:r>
      <w:r>
        <w:t xml:space="preserve">is a city area that is significantly warmer than its rural surroundings.</w:t>
      </w:r>
      <w:r>
        <w:rPr>
          <w:rStyle w:val="FootnoteReference"/>
        </w:rPr>
        <w:footnoteReference w:id="21"/>
      </w:r>
      <w:r>
        <w:t xml:space="preserve"> </w:t>
      </w:r>
      <w:r>
        <w:t xml:space="preserve">The effect is strongest on calm, clear evenings, when buildings and pavements release the heat they absorbed during the day.</w:t>
      </w:r>
    </w:p>
    <w:bookmarkStart w:id="22" w:name="why-it-matters"/>
    <w:p>
      <w:pPr>
        <w:pStyle w:val="Heading2"/>
      </w:pPr>
      <w:r>
        <w:t xml:space="preserve">Why it matters</w:t>
      </w:r>
    </w:p>
    <w:p>
      <w:pPr>
        <w:pStyle w:val="FirstParagraph"/>
      </w:pPr>
      <w:r>
        <w:t xml:space="preserve">Heat waves kill more people than any other weather event in many countries. Higher temperatures also raise energy demand for cooling, worsen air quality and stress water supplies.</w:t>
      </w:r>
    </w:p>
    <w:bookmarkEnd w:id="22"/>
    <w:bookmarkStart w:id="23" w:name="research-questions"/>
    <w:p>
      <w:pPr>
        <w:pStyle w:val="Heading2"/>
      </w:pPr>
      <w:r>
        <w:t xml:space="preserve">Research questions</w:t>
      </w:r>
    </w:p>
    <w:p>
      <w:pPr>
        <w:numPr>
          <w:ilvl w:val="0"/>
          <w:numId w:val="1001"/>
        </w:numPr>
        <w:pStyle w:val="Compact"/>
      </w:pPr>
      <w:r>
        <w:t xml:space="preserve">How large is the temperature difference between the city centre and its surroundings?</w:t>
      </w:r>
    </w:p>
    <w:p>
      <w:pPr>
        <w:numPr>
          <w:ilvl w:val="0"/>
          <w:numId w:val="1001"/>
        </w:numPr>
        <w:pStyle w:val="Compact"/>
      </w:pPr>
      <w:r>
        <w:t xml:space="preserve">Which surface properties explain most of the variation?</w:t>
      </w:r>
    </w:p>
    <w:p>
      <w:pPr>
        <w:numPr>
          <w:ilvl w:val="0"/>
          <w:numId w:val="1001"/>
        </w:numPr>
        <w:pStyle w:val="Compact"/>
      </w:pPr>
      <w:r>
        <w:t xml:space="preserve">Which interventions are cheapest per degree of cooling?</w:t>
      </w:r>
    </w:p>
    <w:bookmarkEnd w:id="23"/>
    <w:bookmarkEnd w:id="24"/>
    <w:bookmarkStart w:id="26" w:name="methods"/>
    <w:p>
      <w:pPr>
        <w:pStyle w:val="Heading1"/>
      </w:pPr>
      <w:r>
        <w:t xml:space="preserve">Methods</w:t>
      </w:r>
    </w:p>
    <w:p>
      <w:pPr>
        <w:pStyle w:val="FirstParagraph"/>
      </w:pPr>
      <w:r>
        <w:t xml:space="preserve">We placed 120 sensors in each city and recorded temperatures every ten minutes. The temperature anomaly of site</w:t>
      </w:r>
      <w:r>
        <w:t xml:space="preserve"> </w:t>
      </w:r>
      <m:oMath>
        <m:r>
          <m:t>i</m:t>
        </m:r>
      </m:oMath>
      <w:r>
        <w:t xml:space="preserve"> </w:t>
      </w:r>
      <w:r>
        <w:t xml:space="preserve">at time</w:t>
      </w:r>
      <w:r>
        <w:t xml:space="preserve"> </w:t>
      </w:r>
      <m:oMath>
        <m:r>
          <m:t>t</m:t>
        </m:r>
      </m:oMath>
      <w:r>
        <w:t xml:space="preserve"> </w:t>
      </w:r>
      <w:r>
        <w:t xml:space="preserve">is</w:t>
      </w:r>
    </w:p>
    <w:p>
      <w:pPr>
        <w:pStyle w:val="BodyText"/>
      </w:pPr>
      <m:oMathPara>
        <m:oMathParaPr>
          <m:jc m:val="center"/>
        </m:oMathParaPr>
        <m:oMath>
          <m:r>
            <m:t>Δ</m:t>
          </m:r>
          <m:sSub>
            <m:e>
              <m:r>
                <m:t>T</m:t>
              </m:r>
            </m:e>
            <m:sub>
              <m:r>
                <m:t>i</m:t>
              </m:r>
              <m:r>
                <m:rPr>
                  <m:sty m:val="p"/>
                </m:rPr>
                <m:t>,</m:t>
              </m:r>
              <m:r>
                <m:t>t</m:t>
              </m:r>
            </m:sub>
          </m:sSub>
          <m:r>
            <m:rPr>
              <m:sty m:val="p"/>
            </m:rPr>
            <m:t>=</m:t>
          </m:r>
          <m:sSub>
            <m:e>
              <m:r>
                <m:t>T</m:t>
              </m:r>
            </m:e>
            <m:sub>
              <m:r>
                <m:t>i</m:t>
              </m:r>
              <m:r>
                <m:rPr>
                  <m:sty m:val="p"/>
                </m:rPr>
                <m:t>,</m:t>
              </m:r>
              <m:r>
                <m:t>t</m:t>
              </m:r>
            </m:sub>
          </m:sSub>
          <m:r>
            <m:rPr>
              <m:sty m:val="p"/>
            </m:rPr>
            <m:t>−</m:t>
          </m:r>
          <m:f>
            <m:fPr>
              <m:type m:val="bar"/>
            </m:fPr>
            <m:num>
              <m:r>
                <m:t>1</m:t>
              </m:r>
            </m:num>
            <m:den>
              <m:d>
                <m:dPr>
                  <m:begChr m:val="|"/>
                  <m:endChr m:val="|"/>
                  <m:sepChr m:val=""/>
                  <m:grow/>
                </m:dPr>
                <m:e>
                  <m:r>
                    <m:t>R</m:t>
                  </m:r>
                </m:e>
              </m:d>
            </m:den>
          </m:f>
          <m:nary>
            <m:naryPr>
              <m:chr m:val="∑"/>
              <m:limLoc m:val="undOvr"/>
              <m:subHide m:val="off"/>
              <m:supHide m:val="on"/>
            </m:naryPr>
            <m:sub>
              <m:r>
                <m:t>r</m:t>
              </m:r>
              <m:r>
                <m:rPr>
                  <m:sty m:val="p"/>
                </m:rPr>
                <m:t>∈</m:t>
              </m:r>
              <m:r>
                <m:t>R</m:t>
              </m:r>
            </m:sub>
            <m:sup>
              <m:r>
                <m:t>​</m:t>
              </m:r>
            </m:sup>
            <m:e>
              <m:sSub>
                <m:e>
                  <m:r>
                    <m:t>T</m:t>
                  </m:r>
                </m:e>
                <m:sub>
                  <m:r>
                    <m:t>r</m:t>
                  </m:r>
                  <m:r>
                    <m:rPr>
                      <m:sty m:val="p"/>
                    </m:rPr>
                    <m:t>,</m:t>
                  </m:r>
                  <m:r>
                    <m:t>t</m:t>
                  </m:r>
                </m:sub>
              </m:sSub>
            </m:e>
          </m:nary>
          <m:r>
            <m:rPr>
              <m:sty m:val="p"/>
            </m:rPr>
            <m:t>,</m:t>
          </m:r>
        </m:oMath>
      </m:oMathPara>
    </w:p>
    <w:p>
      <w:pPr>
        <w:pStyle w:val="FirstParagraph"/>
      </w:pPr>
      <w:r>
        <w:t xml:space="preserve">where</w:t>
      </w:r>
      <w:r>
        <w:t xml:space="preserve"> </w:t>
      </w:r>
      <m:oMath>
        <m:r>
          <m:t>R</m:t>
        </m:r>
      </m:oMath>
      <w:r>
        <w:t xml:space="preserve"> </w:t>
      </w:r>
      <w:r>
        <w:t xml:space="preserve">is the set of rural reference stations.</w:t>
      </w:r>
    </w:p>
    <w:p>
      <w:pPr>
        <w:pStyle w:val="TableCaption"/>
      </w:pPr>
      <w:r>
        <w:t xml:space="preserve">Sensor network in each city.</w:t>
      </w:r>
    </w:p>
    <w:tbl>
      <w:tblPr>
        <w:tblStyle w:val="Table"/>
        <w:tblW w:type="auto" w:w="0"/>
        <w:tblLook w:firstRow="1" w:lastRow="0" w:firstColumn="0" w:lastColumn="0" w:noHBand="0" w:noVBand="0" w:val="0020"/>
        <w:jc w:val="start"/>
        <w:tblCaption w:val="Sensor network in each city."/>
      </w:tblPr>
      <w:tblGrid>
        <w:gridCol w:w="1980"/>
        <w:gridCol w:w="1980"/>
        <w:gridCol w:w="1980"/>
        <w:gridCol w:w="1980"/>
      </w:tblGrid>
      <w:tr>
        <w:trPr>
          <w:tblHeader w:val="true"/>
        </w:trPr>
        <w:tc>
          <w:tcPr/>
          <w:p>
            <w:pPr>
              <w:pStyle w:val="Compact"/>
              <w:jc w:val="left"/>
            </w:pPr>
            <w:r>
              <w:t xml:space="preserve">City</w:t>
            </w:r>
          </w:p>
        </w:tc>
        <w:tc>
          <w:tcPr/>
          <w:p>
            <w:pPr>
              <w:pStyle w:val="Compact"/>
              <w:jc w:val="right"/>
            </w:pPr>
            <w:r>
              <w:t xml:space="preserve">Sensors</w:t>
            </w:r>
          </w:p>
        </w:tc>
        <w:tc>
          <w:tcPr/>
          <w:p>
            <w:pPr>
              <w:pStyle w:val="Compact"/>
              <w:jc w:val="right"/>
            </w:pPr>
            <w:r>
              <w:t xml:space="preserve">Rural stations</w:t>
            </w:r>
          </w:p>
        </w:tc>
        <w:tc>
          <w:tcPr/>
          <w:p>
            <w:pPr>
              <w:pStyle w:val="Compact"/>
              <w:jc w:val="right"/>
            </w:pPr>
            <w:r>
              <w:t xml:space="preserve">Summer days</w:t>
            </w:r>
          </w:p>
        </w:tc>
      </w:tr>
      <w:tr>
        <w:tc>
          <w:tcPr/>
          <w:p>
            <w:pPr>
              <w:pStyle w:val="Compact"/>
              <w:jc w:val="left"/>
            </w:pPr>
            <w:r>
              <w:t xml:space="preserve">Lisbon</w:t>
            </w:r>
          </w:p>
        </w:tc>
        <w:tc>
          <w:tcPr/>
          <w:p>
            <w:pPr>
              <w:pStyle w:val="Compact"/>
              <w:jc w:val="right"/>
            </w:pPr>
            <w:r>
              <w:t xml:space="preserve">120</w:t>
            </w:r>
          </w:p>
        </w:tc>
        <w:tc>
          <w:tcPr/>
          <w:p>
            <w:pPr>
              <w:pStyle w:val="Compact"/>
              <w:jc w:val="right"/>
            </w:pPr>
            <w:r>
              <w:t xml:space="preserve">8</w:t>
            </w:r>
          </w:p>
        </w:tc>
        <w:tc>
          <w:tcPr/>
          <w:p>
            <w:pPr>
              <w:pStyle w:val="Compact"/>
              <w:jc w:val="right"/>
            </w:pPr>
            <w:r>
              <w:t xml:space="preserve">184</w:t>
            </w:r>
          </w:p>
        </w:tc>
      </w:tr>
      <w:tr>
        <w:tc>
          <w:tcPr/>
          <w:p>
            <w:pPr>
              <w:pStyle w:val="Compact"/>
              <w:jc w:val="left"/>
            </w:pPr>
            <w:r>
              <w:t xml:space="preserve">Porto</w:t>
            </w:r>
          </w:p>
        </w:tc>
        <w:tc>
          <w:tcPr/>
          <w:p>
            <w:pPr>
              <w:pStyle w:val="Compact"/>
              <w:jc w:val="right"/>
            </w:pPr>
            <w:r>
              <w:t xml:space="preserve">120</w:t>
            </w:r>
          </w:p>
        </w:tc>
        <w:tc>
          <w:tcPr/>
          <w:p>
            <w:pPr>
              <w:pStyle w:val="Compact"/>
              <w:jc w:val="right"/>
            </w:pPr>
            <w:r>
              <w:t xml:space="preserve">6</w:t>
            </w:r>
          </w:p>
        </w:tc>
        <w:tc>
          <w:tcPr/>
          <w:p>
            <w:pPr>
              <w:pStyle w:val="Compact"/>
              <w:jc w:val="right"/>
            </w:pPr>
            <w:r>
              <w:t xml:space="preserve">181</w:t>
            </w:r>
          </w:p>
        </w:tc>
      </w:tr>
      <w:tr>
        <w:tc>
          <w:tcPr/>
          <w:p>
            <w:pPr>
              <w:pStyle w:val="Compact"/>
              <w:jc w:val="left"/>
            </w:pPr>
            <w:r>
              <w:t xml:space="preserve">Coimbra</w:t>
            </w:r>
          </w:p>
        </w:tc>
        <w:tc>
          <w:tcPr/>
          <w:p>
            <w:pPr>
              <w:pStyle w:val="Compact"/>
              <w:jc w:val="right"/>
            </w:pPr>
            <w:r>
              <w:t xml:space="preserve">120</w:t>
            </w:r>
          </w:p>
        </w:tc>
        <w:tc>
          <w:tcPr/>
          <w:p>
            <w:pPr>
              <w:pStyle w:val="Compact"/>
              <w:jc w:val="right"/>
            </w:pPr>
            <w:r>
              <w:t xml:space="preserve">5</w:t>
            </w:r>
          </w:p>
        </w:tc>
        <w:tc>
          <w:tcPr/>
          <w:p>
            <w:pPr>
              <w:pStyle w:val="Compact"/>
              <w:jc w:val="right"/>
            </w:pPr>
            <w:r>
              <w:t xml:space="preserve">179</w:t>
            </w:r>
          </w:p>
        </w:tc>
      </w:tr>
    </w:tbl>
    <w:bookmarkStart w:id="25" w:name="surface-data"/>
    <w:p>
      <w:pPr>
        <w:pStyle w:val="Heading2"/>
      </w:pPr>
      <w:r>
        <w:t xml:space="preserve">Surface data</w:t>
      </w:r>
    </w:p>
    <w:p>
      <w:pPr>
        <w:pStyle w:val="FirstParagraph"/>
      </w:pPr>
      <w:r>
        <w:t xml:space="preserve">Tree canopy, building height and albedo were taken from aerial surveys. Table cells were matched to the nearest sensor within 50 m.</w:t>
      </w:r>
    </w:p>
    <w:bookmarkEnd w:id="25"/>
    <w:bookmarkEnd w:id="26"/>
    <w:bookmarkStart w:id="32" w:name="results"/>
    <w:p>
      <w:pPr>
        <w:pStyle w:val="Heading1"/>
      </w:pPr>
      <w:r>
        <w:t xml:space="preserve">Results</w:t>
      </w:r>
    </w:p>
    <w:p>
      <w:pPr>
        <w:pStyle w:val="CaptionedFigure"/>
      </w:pPr>
      <w:r>
        <w:drawing>
          <wp:inline>
            <wp:extent cx="5334000" cy="2963333"/>
            <wp:effectExtent b="0" l="0" r="0" t="0"/>
            <wp:docPr descr="Temperature anomaly against building density, all three cities." title="" id="28" name="Picture"/>
            <a:graphic>
              <a:graphicData uri="http://schemas.openxmlformats.org/drawingml/2006/picture">
                <pic:pic>
                  <pic:nvPicPr>
                    <pic:cNvPr descr="growth.png" id="29" name="Picture"/>
                    <pic:cNvPicPr>
                      <a:picLocks noChangeArrowheads="1" noChangeAspect="1"/>
                    </pic:cNvPicPr>
                  </pic:nvPicPr>
                  <pic:blipFill>
                    <a:blip r:embed="rId2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Temperature anomaly against building density, all three cities.</w:t>
      </w:r>
    </w:p>
    <w:p>
      <w:pPr>
        <w:pStyle w:val="BodyText"/>
      </w:pPr>
      <w:r>
        <w:t xml:space="preserve">The anomaly grows faster than linearly with building density. In the densest blocks the afternoon anomaly reached 4.1 °C.</w:t>
      </w:r>
    </w:p>
    <w:bookmarkStart w:id="30" w:name="tree-cover"/>
    <w:p>
      <w:pPr>
        <w:pStyle w:val="Heading2"/>
      </w:pPr>
      <w:r>
        <w:t xml:space="preserve">Tree cover</w:t>
      </w:r>
    </w:p>
    <w:p>
      <w:pPr>
        <w:pStyle w:val="FirstParagraph"/>
      </w:pPr>
      <w:r>
        <w:t xml:space="preserve">Every ten percentage points of canopy cover lowered the anomaly by about 0.6 °C (95% CI 0.4–0.8).</w:t>
      </w:r>
    </w:p>
    <w:bookmarkEnd w:id="30"/>
    <w:bookmarkStart w:id="31" w:name="materials"/>
    <w:p>
      <w:pPr>
        <w:pStyle w:val="Heading2"/>
      </w:pPr>
      <w:r>
        <w:t xml:space="preserve">Materials</w:t>
      </w:r>
    </w:p>
    <w:p>
      <w:pPr>
        <w:pStyle w:val="FirstParagraph"/>
      </w:pPr>
      <w:r>
        <w:t xml:space="preserve">Light-coloured roofs had the largest effect per square metre, but trees had the largest effect per euro spent.</w:t>
      </w:r>
    </w:p>
    <w:bookmarkEnd w:id="31"/>
    <w:bookmarkEnd w:id="32"/>
    <w:bookmarkStart w:id="33" w:name="discussion"/>
    <w:p>
      <w:pPr>
        <w:pStyle w:val="Heading1"/>
      </w:pPr>
      <w:r>
        <w:t xml:space="preserve">Discussion</w:t>
      </w:r>
    </w:p>
    <w:p>
      <w:pPr>
        <w:pStyle w:val="FirstParagraph"/>
      </w:pPr>
      <w:r>
        <w:t xml:space="preserve">The relationship between density and heat is not destiny: the coolest dense blocks had both trees and reflective roofs.</w:t>
      </w:r>
    </w:p>
    <w:p>
      <w:pPr>
        <w:pStyle w:val="BlockText"/>
      </w:pPr>
      <w:r>
        <w:t xml:space="preserve">Planting a tree is the rare policy that pays back in shade, in property values and in health.</w:t>
      </w:r>
    </w:p>
    <w:bookmarkEnd w:id="33"/>
    <w:bookmarkStart w:id="34" w:name="conclusion"/>
    <w:p>
      <w:pPr>
        <w:pStyle w:val="Heading1"/>
      </w:pPr>
      <w:r>
        <w:t xml:space="preserve">Conclusion</w:t>
      </w:r>
    </w:p>
    <w:p>
      <w:pPr>
        <w:pStyle w:val="FirstParagraph"/>
      </w:pPr>
      <w:r>
        <w:t xml:space="preserve">Urban heat can be measured cheaply and reduced with known tools. The next step is a controlled trial of cool roofs.</w:t>
      </w:r>
    </w:p>
    <w:bookmarkEnd w:id="34"/>
    <w:bookmarkStart w:id="35" w:name="references"/>
    <w:p>
      <w:pPr>
        <w:pStyle w:val="Heading1"/>
      </w:pPr>
      <w:r>
        <w:t xml:space="preserve">References</w:t>
      </w:r>
    </w:p>
    <w:p>
      <w:pPr>
        <w:pStyle w:val="FirstParagraph"/>
      </w:pPr>
      <w:r>
        <w:t xml:space="preserve">Howard, L. (1833).</w:t>
      </w:r>
      <w:r>
        <w:t xml:space="preserve"> </w:t>
      </w:r>
      <w:r>
        <w:rPr>
          <w:iCs/>
          <w:i/>
        </w:rPr>
        <w:t xml:space="preserve">The Climate of London</w:t>
      </w:r>
      <w:r>
        <w:t xml:space="preserve">. London: Harvey and Darton.</w:t>
      </w:r>
    </w:p>
    <w:p>
      <w:pPr>
        <w:pStyle w:val="BodyText"/>
      </w:pPr>
      <w:r>
        <w:t xml:space="preserve">Oke, T. R. (1982). The energetic basis of the urban heat island.</w:t>
      </w:r>
      <w:r>
        <w:t xml:space="preserve"> </w:t>
      </w:r>
      <w:r>
        <w:rPr>
          <w:iCs/>
          <w:i/>
        </w:rPr>
        <w:t xml:space="preserve">Quarterly Journal of the Royal Meteorological Society</w:t>
      </w:r>
      <w:r>
        <w:t xml:space="preserve">, 108(455), 1–24.</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term goes back to Luke Howard’s observations of London in the early nineteenth century.</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Urban Heat Islands</dc:title>
  <dc:creator>Ana Ribeiro</dc:creator>
  <cp:keywords/>
  <dcterms:created xsi:type="dcterms:W3CDTF">2026-10-26T04:14:28Z</dcterms:created>
  <dcterms:modified xsi:type="dcterms:W3CDTF">2026-10-26T04:14:28Z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field study of surface temperatures in three cities</vt:lpwstr>
  </property>
</Properties>
</file>