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92448F" w14:textId="77777777" w:rsidR="0045640C" w:rsidRDefault="00BE5097">
      <w:r>
        <w:t xml:space="preserve">The partnerships Fishtech has developed with our customers and technology </w:t>
      </w:r>
      <w:r w:rsidR="000D6948">
        <w:t>manufactures</w:t>
      </w:r>
      <w:r>
        <w:t xml:space="preserve"> are extremely meaningful.  To continue to develop relevant relationships with customers and partners, Fishtech has devoted 15,000 square feet (indoor/outdoor) space within our corporate headquarters to the Customer Experience.</w:t>
      </w:r>
    </w:p>
    <w:p w14:paraId="235CFE7D" w14:textId="77777777" w:rsidR="00BE5097" w:rsidRDefault="00BE5097"/>
    <w:p w14:paraId="419BC166" w14:textId="039AE315" w:rsidR="00BE5097" w:rsidRDefault="00BE5097">
      <w:r>
        <w:t>The Customer Experience will include a Briefing Center that will feature technologically advanced interactive touch screens, meeting</w:t>
      </w:r>
      <w:r w:rsidR="003B1DDC">
        <w:t xml:space="preserve"> &amp; training</w:t>
      </w:r>
      <w:r>
        <w:t xml:space="preserve"> space,</w:t>
      </w:r>
      <w:r w:rsidR="00675C18">
        <w:t xml:space="preserve"> an</w:t>
      </w:r>
      <w:r>
        <w:t xml:space="preserve"> event centric stage with</w:t>
      </w:r>
      <w:r w:rsidR="003B1DDC">
        <w:t xml:space="preserve"> a</w:t>
      </w:r>
      <w:r>
        <w:t xml:space="preserve"> large video wall,</w:t>
      </w:r>
      <w:r w:rsidR="007D6AE3">
        <w:t xml:space="preserve"> technology partner lab,</w:t>
      </w:r>
      <w:r>
        <w:t xml:space="preserve"> chef’s kitchen, wine cellar,</w:t>
      </w:r>
      <w:r w:rsidR="003B1DDC">
        <w:t xml:space="preserve"> and</w:t>
      </w:r>
      <w:r>
        <w:t xml:space="preserve"> state of the art audio visual multimedia elements to help facilitate an experiential interaction with the Fishtech brand. By bringing together Fishtech security customers, thought leaders, and partners, this space will be dedicated to facilitating a deeper understanding of customer needs, challenges and opportunities. </w:t>
      </w:r>
    </w:p>
    <w:p w14:paraId="0F57448B" w14:textId="77777777" w:rsidR="00BE5097" w:rsidRDefault="00BE5097"/>
    <w:p w14:paraId="21ED3DD9" w14:textId="351463D0" w:rsidR="00BE5097" w:rsidRDefault="003B1DDC">
      <w:r>
        <w:t>Customer Advocates</w:t>
      </w:r>
      <w:r w:rsidR="00BE5097">
        <w:t xml:space="preserve"> interested in scheduling a briefing need to first reach out to the appropriate sales manager to discuss the type of visit that is most applicable to the customer situation.</w:t>
      </w:r>
    </w:p>
    <w:p w14:paraId="256A6DE6" w14:textId="77777777" w:rsidR="00BE5097" w:rsidRDefault="00BE5097"/>
    <w:p w14:paraId="7F06CFA4" w14:textId="77777777" w:rsidR="00BE5097" w:rsidRPr="000D6948" w:rsidRDefault="00BE5097">
      <w:pPr>
        <w:rPr>
          <w:b/>
          <w:sz w:val="28"/>
          <w:szCs w:val="28"/>
        </w:rPr>
      </w:pPr>
      <w:r w:rsidRPr="000D6948">
        <w:rPr>
          <w:b/>
          <w:sz w:val="28"/>
          <w:szCs w:val="28"/>
        </w:rPr>
        <w:t>Four briefing events that typically take place:</w:t>
      </w:r>
    </w:p>
    <w:p w14:paraId="4358C488" w14:textId="77777777" w:rsidR="00BE5097" w:rsidRDefault="00BE5097"/>
    <w:p w14:paraId="3F787C48" w14:textId="77777777" w:rsidR="00BE5097" w:rsidRPr="00D63255" w:rsidRDefault="00BE5097">
      <w:pPr>
        <w:rPr>
          <w:b/>
        </w:rPr>
      </w:pPr>
      <w:r w:rsidRPr="00D63255">
        <w:rPr>
          <w:b/>
        </w:rPr>
        <w:t>Executive Briefing</w:t>
      </w:r>
    </w:p>
    <w:p w14:paraId="0C44BF0F" w14:textId="77777777" w:rsidR="00BE5097" w:rsidRDefault="00BE5097"/>
    <w:p w14:paraId="44626150" w14:textId="77777777" w:rsidR="00BE5097" w:rsidRDefault="00BE5097" w:rsidP="00D63255">
      <w:pPr>
        <w:pStyle w:val="ListParagraph"/>
        <w:numPr>
          <w:ilvl w:val="0"/>
          <w:numId w:val="5"/>
        </w:numPr>
      </w:pPr>
      <w:r>
        <w:t>Customer Attendees: Executive (CIO, CISO, CTO, CRO, VP)</w:t>
      </w:r>
    </w:p>
    <w:p w14:paraId="0D3C231E" w14:textId="77777777" w:rsidR="00BE5097" w:rsidRDefault="00BE5097" w:rsidP="00D63255">
      <w:pPr>
        <w:pStyle w:val="ListParagraph"/>
        <w:numPr>
          <w:ilvl w:val="0"/>
          <w:numId w:val="5"/>
        </w:numPr>
      </w:pPr>
      <w:r>
        <w:t>Fishtech Attendees: Executive (CEO, CFO, CTO, VP)</w:t>
      </w:r>
    </w:p>
    <w:p w14:paraId="571BDC56" w14:textId="77777777" w:rsidR="00BE5097" w:rsidRDefault="00BE5097" w:rsidP="00D63255">
      <w:pPr>
        <w:pStyle w:val="ListParagraph"/>
        <w:numPr>
          <w:ilvl w:val="0"/>
          <w:numId w:val="5"/>
        </w:numPr>
      </w:pPr>
      <w:r>
        <w:t>Purpose: High-level business overviews, strategic roadmaps, programmatic alignment, large deal discussion</w:t>
      </w:r>
    </w:p>
    <w:p w14:paraId="62E0B00C" w14:textId="77777777" w:rsidR="00BE5097" w:rsidRDefault="00BE5097" w:rsidP="00D63255">
      <w:pPr>
        <w:pStyle w:val="ListParagraph"/>
        <w:numPr>
          <w:ilvl w:val="0"/>
          <w:numId w:val="5"/>
        </w:numPr>
      </w:pPr>
      <w:r>
        <w:t>Duration: 1 1,2 day (evening event followed by full day)</w:t>
      </w:r>
    </w:p>
    <w:p w14:paraId="60CEB046" w14:textId="77777777" w:rsidR="00BE5097" w:rsidRDefault="00BE5097" w:rsidP="00D63255">
      <w:pPr>
        <w:pStyle w:val="ListParagraph"/>
        <w:numPr>
          <w:ilvl w:val="0"/>
          <w:numId w:val="5"/>
        </w:numPr>
      </w:pPr>
      <w:r>
        <w:t>Net Result: strategic alignment, new opportunity identification, deal closure</w:t>
      </w:r>
    </w:p>
    <w:p w14:paraId="744D4731" w14:textId="77777777" w:rsidR="007D6AE3" w:rsidRDefault="007D6AE3"/>
    <w:p w14:paraId="53B113DE" w14:textId="77777777" w:rsidR="007D6AE3" w:rsidRPr="00D63255" w:rsidRDefault="007D6AE3">
      <w:pPr>
        <w:rPr>
          <w:b/>
        </w:rPr>
      </w:pPr>
      <w:r w:rsidRPr="00D63255">
        <w:rPr>
          <w:b/>
        </w:rPr>
        <w:t>Operational Briefing</w:t>
      </w:r>
    </w:p>
    <w:p w14:paraId="4B54093C" w14:textId="77777777" w:rsidR="007D6AE3" w:rsidRDefault="007D6AE3"/>
    <w:p w14:paraId="71F3179D" w14:textId="77777777" w:rsidR="007D6AE3" w:rsidRDefault="007D6AE3" w:rsidP="00D63255">
      <w:pPr>
        <w:pStyle w:val="ListParagraph"/>
        <w:numPr>
          <w:ilvl w:val="0"/>
          <w:numId w:val="4"/>
        </w:numPr>
      </w:pPr>
      <w:r>
        <w:t>Customer Attendees: Management &amp; Below (VP, Director, Manager, Analyst)</w:t>
      </w:r>
    </w:p>
    <w:p w14:paraId="15DDD38E" w14:textId="77777777" w:rsidR="007D6AE3" w:rsidRDefault="007D6AE3" w:rsidP="00D63255">
      <w:pPr>
        <w:pStyle w:val="ListParagraph"/>
        <w:numPr>
          <w:ilvl w:val="0"/>
          <w:numId w:val="4"/>
        </w:numPr>
      </w:pPr>
      <w:r>
        <w:t>Fishtech Attendees: Executive, Practice Leaders, EA’s, SA’s</w:t>
      </w:r>
    </w:p>
    <w:p w14:paraId="7A09A940" w14:textId="77777777" w:rsidR="007D6AE3" w:rsidRDefault="007D6AE3" w:rsidP="00D63255">
      <w:pPr>
        <w:pStyle w:val="ListParagraph"/>
        <w:numPr>
          <w:ilvl w:val="0"/>
          <w:numId w:val="4"/>
        </w:numPr>
      </w:pPr>
      <w:r>
        <w:t>Purpose: Focused on specific lines of business, practice initiatives, existing opportunities (Managed Services or Professional Services)</w:t>
      </w:r>
    </w:p>
    <w:p w14:paraId="5FAF0511" w14:textId="77777777" w:rsidR="007D6AE3" w:rsidRDefault="007D6AE3" w:rsidP="00D63255">
      <w:pPr>
        <w:pStyle w:val="ListParagraph"/>
        <w:numPr>
          <w:ilvl w:val="0"/>
          <w:numId w:val="4"/>
        </w:numPr>
      </w:pPr>
      <w:r>
        <w:t>Net Result: Advancing specific opportunities, new opportunity identification, deal closure</w:t>
      </w:r>
    </w:p>
    <w:p w14:paraId="58625117" w14:textId="77777777" w:rsidR="007D6AE3" w:rsidRDefault="007D6AE3"/>
    <w:p w14:paraId="4ECDB91E" w14:textId="77777777" w:rsidR="007D6AE3" w:rsidRPr="00D63255" w:rsidRDefault="007D6AE3">
      <w:pPr>
        <w:rPr>
          <w:b/>
        </w:rPr>
      </w:pPr>
      <w:r w:rsidRPr="00D63255">
        <w:rPr>
          <w:b/>
        </w:rPr>
        <w:t>Customer Facing Partner Briefing</w:t>
      </w:r>
    </w:p>
    <w:p w14:paraId="4543A4F7" w14:textId="77777777" w:rsidR="007D6AE3" w:rsidRDefault="007D6AE3"/>
    <w:p w14:paraId="4F1C753E" w14:textId="77777777" w:rsidR="007D6AE3" w:rsidRDefault="007D6AE3" w:rsidP="00D63255">
      <w:pPr>
        <w:pStyle w:val="ListParagraph"/>
        <w:numPr>
          <w:ilvl w:val="0"/>
          <w:numId w:val="3"/>
        </w:numPr>
      </w:pPr>
      <w:r>
        <w:t>Customer Attendees: Executive Management, Operation Management</w:t>
      </w:r>
    </w:p>
    <w:p w14:paraId="11CA9961" w14:textId="77777777" w:rsidR="007D6AE3" w:rsidRDefault="007D6AE3" w:rsidP="00D63255">
      <w:pPr>
        <w:pStyle w:val="ListParagraph"/>
        <w:numPr>
          <w:ilvl w:val="0"/>
          <w:numId w:val="3"/>
        </w:numPr>
      </w:pPr>
      <w:r>
        <w:t>Fishtech Attendees: Executive &amp; Technical</w:t>
      </w:r>
    </w:p>
    <w:p w14:paraId="246AC727" w14:textId="77777777" w:rsidR="007D6AE3" w:rsidRDefault="007D6AE3" w:rsidP="00D63255">
      <w:pPr>
        <w:pStyle w:val="ListParagraph"/>
        <w:numPr>
          <w:ilvl w:val="0"/>
          <w:numId w:val="3"/>
        </w:numPr>
      </w:pPr>
      <w:r>
        <w:t>Partner Attendees: Strategic partners with technology alliances</w:t>
      </w:r>
    </w:p>
    <w:p w14:paraId="2F66DD63" w14:textId="77777777" w:rsidR="007D6AE3" w:rsidRDefault="007D6AE3" w:rsidP="00D63255">
      <w:pPr>
        <w:pStyle w:val="ListParagraph"/>
        <w:numPr>
          <w:ilvl w:val="0"/>
          <w:numId w:val="3"/>
        </w:numPr>
      </w:pPr>
      <w:r>
        <w:t>Purpose: To facilitate an interaction with strategic partners and our mutual customers</w:t>
      </w:r>
    </w:p>
    <w:p w14:paraId="1847FDFA" w14:textId="77777777" w:rsidR="007D6AE3" w:rsidRDefault="007D6AE3" w:rsidP="00D63255">
      <w:pPr>
        <w:pStyle w:val="ListParagraph"/>
        <w:numPr>
          <w:ilvl w:val="0"/>
          <w:numId w:val="3"/>
        </w:numPr>
      </w:pPr>
      <w:r>
        <w:lastRenderedPageBreak/>
        <w:t>Duration 1 – 1 ½ days</w:t>
      </w:r>
    </w:p>
    <w:p w14:paraId="1CE71F96" w14:textId="77777777" w:rsidR="007D6AE3" w:rsidRDefault="007D6AE3" w:rsidP="00D63255">
      <w:pPr>
        <w:pStyle w:val="ListParagraph"/>
        <w:numPr>
          <w:ilvl w:val="0"/>
          <w:numId w:val="3"/>
        </w:numPr>
      </w:pPr>
      <w:r>
        <w:t>Net Result: Technology roadmaps, product management interaction, New opportunity identification</w:t>
      </w:r>
    </w:p>
    <w:p w14:paraId="69B38712" w14:textId="77777777" w:rsidR="00D63255" w:rsidRDefault="00D63255" w:rsidP="00D63255"/>
    <w:p w14:paraId="2751A59E" w14:textId="77777777" w:rsidR="007D6AE3" w:rsidRPr="00D63255" w:rsidRDefault="007D6AE3">
      <w:pPr>
        <w:rPr>
          <w:b/>
        </w:rPr>
      </w:pPr>
      <w:r w:rsidRPr="00D63255">
        <w:rPr>
          <w:b/>
        </w:rPr>
        <w:t xml:space="preserve">Internal </w:t>
      </w:r>
      <w:r w:rsidR="001132E1" w:rsidRPr="00D63255">
        <w:rPr>
          <w:b/>
        </w:rPr>
        <w:t>Partner Briefing</w:t>
      </w:r>
    </w:p>
    <w:p w14:paraId="024B5D58" w14:textId="77777777" w:rsidR="001132E1" w:rsidRDefault="001132E1"/>
    <w:p w14:paraId="20489C43" w14:textId="77777777" w:rsidR="001132E1" w:rsidRDefault="001132E1" w:rsidP="00D63255">
      <w:pPr>
        <w:pStyle w:val="ListParagraph"/>
        <w:numPr>
          <w:ilvl w:val="0"/>
          <w:numId w:val="2"/>
        </w:numPr>
      </w:pPr>
      <w:r>
        <w:t>Partner Attendees: Channel Leadership</w:t>
      </w:r>
    </w:p>
    <w:p w14:paraId="1C9F7F06" w14:textId="77777777" w:rsidR="001132E1" w:rsidRDefault="001132E1" w:rsidP="00D63255">
      <w:pPr>
        <w:pStyle w:val="ListParagraph"/>
        <w:numPr>
          <w:ilvl w:val="0"/>
          <w:numId w:val="2"/>
        </w:numPr>
      </w:pPr>
      <w:r>
        <w:t>Fishtech Attendees: Executive, VP, Vendor Relations</w:t>
      </w:r>
    </w:p>
    <w:p w14:paraId="2DD8DB01" w14:textId="77777777" w:rsidR="001132E1" w:rsidRDefault="001132E1" w:rsidP="00D63255">
      <w:pPr>
        <w:pStyle w:val="ListParagraph"/>
        <w:numPr>
          <w:ilvl w:val="0"/>
          <w:numId w:val="2"/>
        </w:numPr>
      </w:pPr>
      <w:r>
        <w:t>Purpose: Fistech business reviews and strategic planning</w:t>
      </w:r>
    </w:p>
    <w:p w14:paraId="73567653" w14:textId="77777777" w:rsidR="001132E1" w:rsidRDefault="001132E1" w:rsidP="00D63255">
      <w:pPr>
        <w:pStyle w:val="ListParagraph"/>
        <w:numPr>
          <w:ilvl w:val="0"/>
          <w:numId w:val="2"/>
        </w:numPr>
      </w:pPr>
      <w:r>
        <w:t>Duration: ½ day</w:t>
      </w:r>
    </w:p>
    <w:p w14:paraId="57063A7F" w14:textId="77777777" w:rsidR="001132E1" w:rsidRDefault="001132E1" w:rsidP="00D63255">
      <w:pPr>
        <w:pStyle w:val="ListParagraph"/>
        <w:numPr>
          <w:ilvl w:val="0"/>
          <w:numId w:val="2"/>
        </w:numPr>
      </w:pPr>
      <w:r>
        <w:t>Net Result: Strategic planning</w:t>
      </w:r>
    </w:p>
    <w:p w14:paraId="24FF0D27" w14:textId="77777777" w:rsidR="001132E1" w:rsidRDefault="001132E1"/>
    <w:p w14:paraId="67A86409" w14:textId="77777777" w:rsidR="001132E1" w:rsidRDefault="00D63255">
      <w:r>
        <w:t>Each visit</w:t>
      </w:r>
      <w:r w:rsidR="001132E1">
        <w:t xml:space="preserve"> to the Briefing Center will be purposeful and customized for each visitor.</w:t>
      </w:r>
    </w:p>
    <w:p w14:paraId="4212A96D" w14:textId="77777777" w:rsidR="001132E1" w:rsidRDefault="001132E1"/>
    <w:p w14:paraId="60FA939C" w14:textId="77777777" w:rsidR="001132E1" w:rsidRPr="00D63255" w:rsidRDefault="008C48A0">
      <w:pPr>
        <w:rPr>
          <w:b/>
        </w:rPr>
      </w:pPr>
      <w:r w:rsidRPr="00D63255">
        <w:rPr>
          <w:b/>
        </w:rPr>
        <w:t>Visit Topic Discussions</w:t>
      </w:r>
      <w:r w:rsidR="001132E1" w:rsidRPr="00D63255">
        <w:rPr>
          <w:b/>
        </w:rPr>
        <w:t>:</w:t>
      </w:r>
    </w:p>
    <w:p w14:paraId="07FDBFC9" w14:textId="77777777" w:rsidR="001132E1" w:rsidRDefault="001132E1"/>
    <w:p w14:paraId="2CB33C04" w14:textId="77777777" w:rsidR="001132E1" w:rsidRDefault="001132E1" w:rsidP="00D63255">
      <w:pPr>
        <w:pStyle w:val="ListParagraph"/>
        <w:numPr>
          <w:ilvl w:val="0"/>
          <w:numId w:val="1"/>
        </w:numPr>
      </w:pPr>
      <w:r>
        <w:t>Security Architecture and Design Reviews and Roadmaps</w:t>
      </w:r>
    </w:p>
    <w:p w14:paraId="73122F8E" w14:textId="77777777" w:rsidR="001132E1" w:rsidRDefault="001132E1" w:rsidP="00D63255">
      <w:pPr>
        <w:pStyle w:val="ListParagraph"/>
        <w:numPr>
          <w:ilvl w:val="0"/>
          <w:numId w:val="1"/>
        </w:numPr>
      </w:pPr>
      <w:r>
        <w:t>Requirement Definition and Solution Discovery</w:t>
      </w:r>
    </w:p>
    <w:p w14:paraId="1BB74D14" w14:textId="77777777" w:rsidR="001132E1" w:rsidRDefault="001132E1" w:rsidP="00D63255">
      <w:pPr>
        <w:pStyle w:val="ListParagraph"/>
        <w:numPr>
          <w:ilvl w:val="0"/>
          <w:numId w:val="1"/>
        </w:numPr>
      </w:pPr>
      <w:r>
        <w:t>Best Practice Disclosures by Vertical Industry</w:t>
      </w:r>
    </w:p>
    <w:p w14:paraId="6214C0B8" w14:textId="77777777" w:rsidR="001132E1" w:rsidRDefault="001132E1" w:rsidP="00D63255">
      <w:pPr>
        <w:pStyle w:val="ListParagraph"/>
        <w:numPr>
          <w:ilvl w:val="0"/>
          <w:numId w:val="1"/>
        </w:numPr>
      </w:pPr>
      <w:r>
        <w:t>Interactive Technology Demonstrations</w:t>
      </w:r>
    </w:p>
    <w:p w14:paraId="5132457C" w14:textId="77777777" w:rsidR="001132E1" w:rsidRDefault="001132E1" w:rsidP="00D63255">
      <w:pPr>
        <w:pStyle w:val="ListParagraph"/>
        <w:numPr>
          <w:ilvl w:val="0"/>
          <w:numId w:val="1"/>
        </w:numPr>
      </w:pPr>
      <w:r>
        <w:t>Envisioning a Future State of Enterprise Security</w:t>
      </w:r>
    </w:p>
    <w:p w14:paraId="10A07C71" w14:textId="77777777" w:rsidR="001132E1" w:rsidRDefault="001132E1" w:rsidP="00D63255">
      <w:pPr>
        <w:pStyle w:val="ListParagraph"/>
        <w:numPr>
          <w:ilvl w:val="0"/>
          <w:numId w:val="1"/>
        </w:numPr>
      </w:pPr>
      <w:r>
        <w:t>Threat Trending by Vertical Industry</w:t>
      </w:r>
    </w:p>
    <w:p w14:paraId="77D2BF15" w14:textId="77777777" w:rsidR="001132E1" w:rsidRDefault="001132E1" w:rsidP="00D63255">
      <w:pPr>
        <w:pStyle w:val="ListParagraph"/>
        <w:numPr>
          <w:ilvl w:val="0"/>
          <w:numId w:val="1"/>
        </w:numPr>
      </w:pPr>
      <w:r>
        <w:t>Budget Prioritization and Development</w:t>
      </w:r>
    </w:p>
    <w:p w14:paraId="6AF98622" w14:textId="77777777" w:rsidR="008C48A0" w:rsidRDefault="008C48A0"/>
    <w:p w14:paraId="019BA9C9" w14:textId="531CA5EC" w:rsidR="008C48A0" w:rsidRDefault="00D63255">
      <w:r>
        <w:t>After a visit</w:t>
      </w:r>
      <w:r w:rsidR="008C48A0">
        <w:t xml:space="preserve"> type is determined, the Customer Advocate will fill out the Briefing Center Request form located in salesforce.com.</w:t>
      </w:r>
      <w:r w:rsidR="000D6948">
        <w:t xml:space="preserve"> (example of the form, Exhibit A)</w:t>
      </w:r>
      <w:r w:rsidR="003B1DDC">
        <w:t xml:space="preserve"> </w:t>
      </w:r>
      <w:r w:rsidR="008C48A0">
        <w:t xml:space="preserve">The Marketing Team will then set up an organizational call with the Customer Advocate and Sales Management team to kick off the briefing planning process.  Visits need to be scheduled a minimum of 60 days in advance to ensure </w:t>
      </w:r>
      <w:r>
        <w:t>proper</w:t>
      </w:r>
      <w:r w:rsidR="008C48A0">
        <w:t xml:space="preserve"> qual</w:t>
      </w:r>
      <w:r>
        <w:t>ity.</w:t>
      </w:r>
    </w:p>
    <w:p w14:paraId="4BCD38FE" w14:textId="77777777" w:rsidR="00D63255" w:rsidRDefault="00D63255"/>
    <w:p w14:paraId="1B10523A" w14:textId="7B56DDBD" w:rsidR="00D63255" w:rsidRDefault="00D63255">
      <w:r>
        <w:t>All employees are encouraged to understand the capabilities of the Briefing Center.  It provides a competitive advantage for our business and is a source of pride for our company.  Tours of the Briefing Center can be sched</w:t>
      </w:r>
      <w:r w:rsidR="003B1DDC">
        <w:t xml:space="preserve">uled with the Vendor Management, </w:t>
      </w:r>
      <w:r>
        <w:t>Marketing</w:t>
      </w:r>
      <w:r w:rsidR="003B1DDC">
        <w:t>, and Facilities</w:t>
      </w:r>
      <w:r>
        <w:t xml:space="preserve"> team</w:t>
      </w:r>
      <w:r w:rsidR="003B1DDC">
        <w:t>’s</w:t>
      </w:r>
      <w:r>
        <w:t xml:space="preserve">.  </w:t>
      </w:r>
    </w:p>
    <w:p w14:paraId="5C2F33DD" w14:textId="77777777" w:rsidR="00D63255" w:rsidRDefault="00D63255"/>
    <w:p w14:paraId="19E5995A" w14:textId="25C02949" w:rsidR="00D63255" w:rsidRDefault="00D63255">
      <w:r>
        <w:t>In addition to the four types of typical briefings that will take place in the Customer Briefing Center, Marketing will be coordinating executive level customer and or partner level events that are focused around though</w:t>
      </w:r>
      <w:r w:rsidR="003B1DDC">
        <w:t>t</w:t>
      </w:r>
      <w:r>
        <w:t xml:space="preserve"> leadership.  These events will be planned and executed by the Marketing team based on partner funding</w:t>
      </w:r>
      <w:r w:rsidR="003B1DDC">
        <w:t xml:space="preserve"> available and executive leadership’s direction.</w:t>
      </w:r>
    </w:p>
    <w:p w14:paraId="1838D309" w14:textId="77777777" w:rsidR="00D63255" w:rsidRDefault="00D63255"/>
    <w:p w14:paraId="5704C2BB" w14:textId="3B48664E" w:rsidR="00D63255" w:rsidRDefault="00D63255">
      <w:r>
        <w:t xml:space="preserve">Partners can also utilize the lab to conduct proof of concepts and bake off’s with competitive technologies.  These initiatives will be driven at the executive level and are usually paid engagements.  </w:t>
      </w:r>
      <w:r w:rsidR="003B1DDC">
        <w:t>All inquiries to add equipment to the lab can be directed to the Vendor Management team.</w:t>
      </w:r>
      <w:r>
        <w:t xml:space="preserve"> </w:t>
      </w:r>
    </w:p>
    <w:p w14:paraId="638990FB" w14:textId="77777777" w:rsidR="003B1DDC" w:rsidRDefault="003B1DDC">
      <w:pPr>
        <w:rPr>
          <w:b/>
        </w:rPr>
      </w:pPr>
    </w:p>
    <w:p w14:paraId="6CAF5E31" w14:textId="77777777" w:rsidR="00D63255" w:rsidRPr="000D6948" w:rsidRDefault="000D6948">
      <w:pPr>
        <w:rPr>
          <w:b/>
        </w:rPr>
      </w:pPr>
      <w:r w:rsidRPr="000D6948">
        <w:rPr>
          <w:b/>
        </w:rPr>
        <w:t>Exhibit A</w:t>
      </w:r>
    </w:p>
    <w:p w14:paraId="1EBD6AF9" w14:textId="77777777" w:rsidR="00D63255" w:rsidRDefault="00D63255"/>
    <w:p w14:paraId="63BD9EF5" w14:textId="77777777" w:rsidR="00D63255" w:rsidRDefault="00D63255">
      <w:r>
        <w:t>Example information included to request a briefing:</w:t>
      </w:r>
    </w:p>
    <w:p w14:paraId="7C88084C" w14:textId="77777777" w:rsidR="00D63255" w:rsidRDefault="00D63255"/>
    <w:tbl>
      <w:tblPr>
        <w:tblW w:w="0" w:type="auto"/>
        <w:tblInd w:w="119"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2755"/>
        <w:gridCol w:w="1469"/>
        <w:gridCol w:w="1584"/>
        <w:gridCol w:w="1382"/>
        <w:gridCol w:w="1978"/>
      </w:tblGrid>
      <w:tr w:rsidR="00D63255" w14:paraId="07B15061" w14:textId="77777777" w:rsidTr="006F1BDA">
        <w:trPr>
          <w:trHeight w:hRule="exact" w:val="397"/>
        </w:trPr>
        <w:tc>
          <w:tcPr>
            <w:tcW w:w="2755" w:type="dxa"/>
            <w:vMerge w:val="restart"/>
          </w:tcPr>
          <w:p w14:paraId="09B35003" w14:textId="77777777" w:rsidR="00D63255" w:rsidRDefault="00D63255" w:rsidP="006F1BDA">
            <w:pPr>
              <w:pStyle w:val="TableParagraph"/>
              <w:spacing w:before="0"/>
              <w:ind w:left="0"/>
              <w:rPr>
                <w:sz w:val="26"/>
              </w:rPr>
            </w:pPr>
          </w:p>
          <w:p w14:paraId="3F113511" w14:textId="77777777" w:rsidR="00D63255" w:rsidRDefault="00D63255" w:rsidP="006F1BDA">
            <w:pPr>
              <w:pStyle w:val="TableParagraph"/>
              <w:spacing w:before="169"/>
              <w:rPr>
                <w:b/>
                <w:sz w:val="24"/>
              </w:rPr>
            </w:pPr>
            <w:r>
              <w:rPr>
                <w:b/>
                <w:color w:val="636670"/>
                <w:sz w:val="24"/>
              </w:rPr>
              <w:t>Briefing Center</w:t>
            </w:r>
          </w:p>
          <w:p w14:paraId="122DACF0" w14:textId="77777777" w:rsidR="00D63255" w:rsidRDefault="00D63255" w:rsidP="006F1BDA">
            <w:pPr>
              <w:pStyle w:val="TableParagraph"/>
              <w:spacing w:before="11"/>
              <w:rPr>
                <w:b/>
                <w:sz w:val="24"/>
              </w:rPr>
            </w:pPr>
            <w:r>
              <w:rPr>
                <w:b/>
                <w:color w:val="636670"/>
                <w:sz w:val="24"/>
              </w:rPr>
              <w:t>Request Form</w:t>
            </w:r>
          </w:p>
        </w:tc>
        <w:tc>
          <w:tcPr>
            <w:tcW w:w="6412" w:type="dxa"/>
            <w:gridSpan w:val="4"/>
          </w:tcPr>
          <w:p w14:paraId="7D502BE8" w14:textId="77777777" w:rsidR="00D63255" w:rsidRDefault="00D63255" w:rsidP="006F1BDA">
            <w:pPr>
              <w:pStyle w:val="TableParagraph"/>
              <w:rPr>
                <w:sz w:val="24"/>
              </w:rPr>
            </w:pPr>
            <w:r>
              <w:rPr>
                <w:color w:val="501010"/>
                <w:sz w:val="24"/>
              </w:rPr>
              <w:t>Proposed Dates</w:t>
            </w:r>
          </w:p>
        </w:tc>
      </w:tr>
      <w:tr w:rsidR="00D63255" w14:paraId="188D2952" w14:textId="77777777" w:rsidTr="006F1BDA">
        <w:trPr>
          <w:trHeight w:hRule="exact" w:val="346"/>
        </w:trPr>
        <w:tc>
          <w:tcPr>
            <w:tcW w:w="2755" w:type="dxa"/>
            <w:vMerge/>
          </w:tcPr>
          <w:p w14:paraId="38655EB3" w14:textId="77777777" w:rsidR="00D63255" w:rsidRDefault="00D63255" w:rsidP="006F1BDA"/>
        </w:tc>
        <w:tc>
          <w:tcPr>
            <w:tcW w:w="6412" w:type="dxa"/>
            <w:gridSpan w:val="4"/>
          </w:tcPr>
          <w:p w14:paraId="23EEBB1E" w14:textId="77777777" w:rsidR="00D63255" w:rsidRDefault="00D63255" w:rsidP="006F1BDA">
            <w:pPr>
              <w:pStyle w:val="TableParagraph"/>
              <w:rPr>
                <w:sz w:val="24"/>
              </w:rPr>
            </w:pPr>
            <w:r>
              <w:rPr>
                <w:color w:val="501010"/>
                <w:sz w:val="24"/>
              </w:rPr>
              <w:t>Desired Briefing Duration</w:t>
            </w:r>
          </w:p>
        </w:tc>
      </w:tr>
      <w:tr w:rsidR="00D63255" w14:paraId="72BB180A" w14:textId="77777777" w:rsidTr="006F1BDA">
        <w:trPr>
          <w:trHeight w:hRule="exact" w:val="403"/>
        </w:trPr>
        <w:tc>
          <w:tcPr>
            <w:tcW w:w="2755" w:type="dxa"/>
            <w:vMerge/>
          </w:tcPr>
          <w:p w14:paraId="7A76E3D6" w14:textId="77777777" w:rsidR="00D63255" w:rsidRDefault="00D63255" w:rsidP="006F1BDA"/>
        </w:tc>
        <w:tc>
          <w:tcPr>
            <w:tcW w:w="6412" w:type="dxa"/>
            <w:gridSpan w:val="4"/>
          </w:tcPr>
          <w:p w14:paraId="3E0F79A9" w14:textId="77777777" w:rsidR="00D63255" w:rsidRDefault="00D63255" w:rsidP="006F1BDA">
            <w:pPr>
              <w:pStyle w:val="TableParagraph"/>
              <w:rPr>
                <w:sz w:val="24"/>
              </w:rPr>
            </w:pPr>
            <w:r>
              <w:rPr>
                <w:color w:val="501010"/>
                <w:sz w:val="24"/>
              </w:rPr>
              <w:t>Evening Meal / Entertainment Required?</w:t>
            </w:r>
          </w:p>
        </w:tc>
      </w:tr>
      <w:tr w:rsidR="00D63255" w14:paraId="0D82EAF1" w14:textId="77777777" w:rsidTr="006F1BDA">
        <w:trPr>
          <w:trHeight w:hRule="exact" w:val="374"/>
        </w:trPr>
        <w:tc>
          <w:tcPr>
            <w:tcW w:w="2755" w:type="dxa"/>
            <w:vMerge/>
          </w:tcPr>
          <w:p w14:paraId="0E963B0F" w14:textId="77777777" w:rsidR="00D63255" w:rsidRDefault="00D63255" w:rsidP="006F1BDA"/>
        </w:tc>
        <w:tc>
          <w:tcPr>
            <w:tcW w:w="6412" w:type="dxa"/>
            <w:gridSpan w:val="4"/>
          </w:tcPr>
          <w:p w14:paraId="34647901" w14:textId="77777777" w:rsidR="00D63255" w:rsidRDefault="00D63255" w:rsidP="006F1BDA">
            <w:pPr>
              <w:pStyle w:val="TableParagraph"/>
              <w:rPr>
                <w:sz w:val="24"/>
              </w:rPr>
            </w:pPr>
            <w:r>
              <w:rPr>
                <w:color w:val="501010"/>
                <w:sz w:val="24"/>
              </w:rPr>
              <w:t>Can customer accept gifts?</w:t>
            </w:r>
          </w:p>
        </w:tc>
      </w:tr>
      <w:tr w:rsidR="00D63255" w14:paraId="12CBCBAF" w14:textId="77777777" w:rsidTr="006F1BDA">
        <w:trPr>
          <w:trHeight w:hRule="exact" w:val="162"/>
        </w:trPr>
        <w:tc>
          <w:tcPr>
            <w:tcW w:w="9167" w:type="dxa"/>
            <w:gridSpan w:val="5"/>
            <w:shd w:val="clear" w:color="auto" w:fill="C4C6C8"/>
          </w:tcPr>
          <w:p w14:paraId="727BCF47" w14:textId="77777777" w:rsidR="00D63255" w:rsidRDefault="00D63255" w:rsidP="006F1BDA"/>
        </w:tc>
      </w:tr>
      <w:tr w:rsidR="00D63255" w14:paraId="21F8AC14" w14:textId="77777777" w:rsidTr="006F1BDA">
        <w:trPr>
          <w:trHeight w:hRule="exact" w:val="414"/>
        </w:trPr>
        <w:tc>
          <w:tcPr>
            <w:tcW w:w="2755" w:type="dxa"/>
            <w:vMerge w:val="restart"/>
          </w:tcPr>
          <w:p w14:paraId="2F51B9D7" w14:textId="77777777" w:rsidR="00D63255" w:rsidRDefault="00D63255" w:rsidP="006F1BDA">
            <w:pPr>
              <w:pStyle w:val="TableParagraph"/>
              <w:spacing w:before="0"/>
              <w:ind w:left="0"/>
              <w:rPr>
                <w:sz w:val="26"/>
              </w:rPr>
            </w:pPr>
          </w:p>
          <w:p w14:paraId="6D532899" w14:textId="77777777" w:rsidR="00D63255" w:rsidRDefault="00D63255" w:rsidP="006F1BDA">
            <w:pPr>
              <w:pStyle w:val="TableParagraph"/>
              <w:spacing w:before="11"/>
              <w:ind w:left="0"/>
              <w:rPr>
                <w:sz w:val="27"/>
              </w:rPr>
            </w:pPr>
          </w:p>
          <w:p w14:paraId="2A4957F7" w14:textId="77777777" w:rsidR="00D63255" w:rsidRDefault="00D63255" w:rsidP="006F1BDA">
            <w:pPr>
              <w:pStyle w:val="TableParagraph"/>
              <w:spacing w:before="0"/>
              <w:rPr>
                <w:b/>
                <w:sz w:val="24"/>
              </w:rPr>
            </w:pPr>
            <w:r>
              <w:rPr>
                <w:b/>
                <w:color w:val="636670"/>
                <w:sz w:val="24"/>
              </w:rPr>
              <w:t>Travel</w:t>
            </w:r>
          </w:p>
        </w:tc>
        <w:tc>
          <w:tcPr>
            <w:tcW w:w="6412" w:type="dxa"/>
            <w:gridSpan w:val="4"/>
          </w:tcPr>
          <w:p w14:paraId="5AC0653D" w14:textId="77777777" w:rsidR="00D63255" w:rsidRDefault="00D63255" w:rsidP="006F1BDA">
            <w:pPr>
              <w:pStyle w:val="TableParagraph"/>
              <w:rPr>
                <w:sz w:val="24"/>
              </w:rPr>
            </w:pPr>
            <w:r>
              <w:rPr>
                <w:color w:val="501010"/>
                <w:sz w:val="24"/>
              </w:rPr>
              <w:t>Who is booking and paying for...</w:t>
            </w:r>
          </w:p>
        </w:tc>
      </w:tr>
      <w:tr w:rsidR="00D63255" w14:paraId="48435E4F" w14:textId="77777777" w:rsidTr="006F1BDA">
        <w:trPr>
          <w:trHeight w:hRule="exact" w:val="397"/>
        </w:trPr>
        <w:tc>
          <w:tcPr>
            <w:tcW w:w="2755" w:type="dxa"/>
            <w:vMerge/>
          </w:tcPr>
          <w:p w14:paraId="5BEE49B7" w14:textId="77777777" w:rsidR="00D63255" w:rsidRDefault="00D63255" w:rsidP="006F1BDA"/>
        </w:tc>
        <w:tc>
          <w:tcPr>
            <w:tcW w:w="1469" w:type="dxa"/>
            <w:vMerge w:val="restart"/>
          </w:tcPr>
          <w:p w14:paraId="5F8ED223" w14:textId="77777777" w:rsidR="00D63255" w:rsidRDefault="00D63255" w:rsidP="006F1BDA"/>
        </w:tc>
        <w:tc>
          <w:tcPr>
            <w:tcW w:w="4944" w:type="dxa"/>
            <w:gridSpan w:val="3"/>
          </w:tcPr>
          <w:p w14:paraId="05206EB2" w14:textId="77777777" w:rsidR="00D63255" w:rsidRDefault="00D63255" w:rsidP="006F1BDA">
            <w:pPr>
              <w:pStyle w:val="TableParagraph"/>
              <w:rPr>
                <w:sz w:val="24"/>
              </w:rPr>
            </w:pPr>
            <w:r>
              <w:rPr>
                <w:color w:val="501010"/>
                <w:sz w:val="24"/>
              </w:rPr>
              <w:t>Flight?</w:t>
            </w:r>
          </w:p>
        </w:tc>
      </w:tr>
      <w:tr w:rsidR="00D63255" w14:paraId="3FF1D14F" w14:textId="77777777" w:rsidTr="006F1BDA">
        <w:trPr>
          <w:trHeight w:hRule="exact" w:val="352"/>
        </w:trPr>
        <w:tc>
          <w:tcPr>
            <w:tcW w:w="2755" w:type="dxa"/>
            <w:vMerge/>
          </w:tcPr>
          <w:p w14:paraId="5B85C6A7" w14:textId="77777777" w:rsidR="00D63255" w:rsidRDefault="00D63255" w:rsidP="006F1BDA"/>
        </w:tc>
        <w:tc>
          <w:tcPr>
            <w:tcW w:w="1469" w:type="dxa"/>
            <w:vMerge/>
          </w:tcPr>
          <w:p w14:paraId="3622D939" w14:textId="77777777" w:rsidR="00D63255" w:rsidRDefault="00D63255" w:rsidP="006F1BDA"/>
        </w:tc>
        <w:tc>
          <w:tcPr>
            <w:tcW w:w="4944" w:type="dxa"/>
            <w:gridSpan w:val="3"/>
          </w:tcPr>
          <w:p w14:paraId="71F43067" w14:textId="77777777" w:rsidR="00D63255" w:rsidRDefault="00D63255" w:rsidP="006F1BDA">
            <w:pPr>
              <w:pStyle w:val="TableParagraph"/>
              <w:rPr>
                <w:sz w:val="24"/>
              </w:rPr>
            </w:pPr>
            <w:r>
              <w:rPr>
                <w:color w:val="501010"/>
                <w:sz w:val="24"/>
              </w:rPr>
              <w:t>Hotel?</w:t>
            </w:r>
          </w:p>
        </w:tc>
      </w:tr>
      <w:tr w:rsidR="00D63255" w14:paraId="5F242907" w14:textId="77777777" w:rsidTr="006F1BDA">
        <w:trPr>
          <w:trHeight w:hRule="exact" w:val="374"/>
        </w:trPr>
        <w:tc>
          <w:tcPr>
            <w:tcW w:w="2755" w:type="dxa"/>
            <w:vMerge/>
          </w:tcPr>
          <w:p w14:paraId="3AF7A123" w14:textId="77777777" w:rsidR="00D63255" w:rsidRDefault="00D63255" w:rsidP="006F1BDA"/>
        </w:tc>
        <w:tc>
          <w:tcPr>
            <w:tcW w:w="1469" w:type="dxa"/>
            <w:vMerge/>
          </w:tcPr>
          <w:p w14:paraId="48ED8299" w14:textId="77777777" w:rsidR="00D63255" w:rsidRDefault="00D63255" w:rsidP="006F1BDA"/>
        </w:tc>
        <w:tc>
          <w:tcPr>
            <w:tcW w:w="4944" w:type="dxa"/>
            <w:gridSpan w:val="3"/>
          </w:tcPr>
          <w:p w14:paraId="5AB7FAFA" w14:textId="77777777" w:rsidR="00D63255" w:rsidRDefault="00D63255" w:rsidP="006F1BDA">
            <w:pPr>
              <w:pStyle w:val="TableParagraph"/>
              <w:rPr>
                <w:sz w:val="24"/>
              </w:rPr>
            </w:pPr>
            <w:r>
              <w:rPr>
                <w:color w:val="501010"/>
                <w:sz w:val="24"/>
              </w:rPr>
              <w:t>Transportation?</w:t>
            </w:r>
          </w:p>
        </w:tc>
      </w:tr>
      <w:tr w:rsidR="00D63255" w14:paraId="7D42B145" w14:textId="77777777" w:rsidTr="006F1BDA">
        <w:trPr>
          <w:trHeight w:hRule="exact" w:val="161"/>
        </w:trPr>
        <w:tc>
          <w:tcPr>
            <w:tcW w:w="9167" w:type="dxa"/>
            <w:gridSpan w:val="5"/>
            <w:shd w:val="clear" w:color="auto" w:fill="C4C6C8"/>
          </w:tcPr>
          <w:p w14:paraId="0946D414" w14:textId="77777777" w:rsidR="00D63255" w:rsidRDefault="00D63255" w:rsidP="006F1BDA"/>
        </w:tc>
      </w:tr>
      <w:tr w:rsidR="00D63255" w14:paraId="270C035F" w14:textId="77777777" w:rsidTr="006F1BDA">
        <w:trPr>
          <w:trHeight w:hRule="exact" w:val="391"/>
        </w:trPr>
        <w:tc>
          <w:tcPr>
            <w:tcW w:w="2755" w:type="dxa"/>
            <w:vMerge w:val="restart"/>
          </w:tcPr>
          <w:p w14:paraId="02979224" w14:textId="77777777" w:rsidR="00D63255" w:rsidRDefault="00D63255" w:rsidP="006F1BDA">
            <w:pPr>
              <w:pStyle w:val="TableParagraph"/>
              <w:spacing w:before="0"/>
              <w:ind w:left="0"/>
              <w:rPr>
                <w:sz w:val="26"/>
              </w:rPr>
            </w:pPr>
          </w:p>
          <w:p w14:paraId="0BCE1C1D" w14:textId="77777777" w:rsidR="00D63255" w:rsidRDefault="00D63255" w:rsidP="006F1BDA">
            <w:pPr>
              <w:pStyle w:val="TableParagraph"/>
              <w:spacing w:before="0"/>
              <w:ind w:left="0"/>
              <w:rPr>
                <w:sz w:val="26"/>
              </w:rPr>
            </w:pPr>
          </w:p>
          <w:p w14:paraId="7D193E61" w14:textId="77777777" w:rsidR="00D63255" w:rsidRDefault="00D63255" w:rsidP="006F1BDA">
            <w:pPr>
              <w:pStyle w:val="TableParagraph"/>
              <w:spacing w:before="156"/>
              <w:rPr>
                <w:b/>
                <w:sz w:val="24"/>
              </w:rPr>
            </w:pPr>
            <w:r>
              <w:rPr>
                <w:b/>
                <w:color w:val="636670"/>
                <w:sz w:val="24"/>
              </w:rPr>
              <w:t>Customer Details</w:t>
            </w:r>
          </w:p>
        </w:tc>
        <w:tc>
          <w:tcPr>
            <w:tcW w:w="6412" w:type="dxa"/>
            <w:gridSpan w:val="4"/>
          </w:tcPr>
          <w:p w14:paraId="4C7B08C3" w14:textId="77777777" w:rsidR="00D63255" w:rsidRDefault="00D63255" w:rsidP="006F1BDA">
            <w:pPr>
              <w:pStyle w:val="TableParagraph"/>
              <w:rPr>
                <w:sz w:val="24"/>
              </w:rPr>
            </w:pPr>
            <w:r>
              <w:rPr>
                <w:color w:val="501010"/>
                <w:sz w:val="24"/>
              </w:rPr>
              <w:t>Attendee(s) [1, 2, 3, ...]</w:t>
            </w:r>
          </w:p>
        </w:tc>
      </w:tr>
      <w:tr w:rsidR="00D63255" w14:paraId="50998F8E" w14:textId="77777777" w:rsidTr="006F1BDA">
        <w:trPr>
          <w:trHeight w:hRule="exact" w:val="398"/>
        </w:trPr>
        <w:tc>
          <w:tcPr>
            <w:tcW w:w="2755" w:type="dxa"/>
            <w:vMerge/>
          </w:tcPr>
          <w:p w14:paraId="12EA27E2" w14:textId="77777777" w:rsidR="00D63255" w:rsidRDefault="00D63255" w:rsidP="006F1BDA"/>
        </w:tc>
        <w:tc>
          <w:tcPr>
            <w:tcW w:w="1469" w:type="dxa"/>
            <w:vMerge w:val="restart"/>
          </w:tcPr>
          <w:p w14:paraId="3C08D0CF" w14:textId="77777777" w:rsidR="00D63255" w:rsidRDefault="00D63255" w:rsidP="006F1BDA"/>
        </w:tc>
        <w:tc>
          <w:tcPr>
            <w:tcW w:w="4944" w:type="dxa"/>
            <w:gridSpan w:val="3"/>
          </w:tcPr>
          <w:p w14:paraId="393F6885" w14:textId="77777777" w:rsidR="00D63255" w:rsidRDefault="00D63255" w:rsidP="006F1BDA">
            <w:pPr>
              <w:pStyle w:val="TableParagraph"/>
              <w:rPr>
                <w:sz w:val="24"/>
              </w:rPr>
            </w:pPr>
            <w:r>
              <w:rPr>
                <w:color w:val="501010"/>
                <w:sz w:val="24"/>
              </w:rPr>
              <w:t>Personal Details</w:t>
            </w:r>
          </w:p>
        </w:tc>
      </w:tr>
      <w:tr w:rsidR="00D63255" w14:paraId="5AAC5C67" w14:textId="77777777" w:rsidTr="006F1BDA">
        <w:trPr>
          <w:trHeight w:hRule="exact" w:val="335"/>
        </w:trPr>
        <w:tc>
          <w:tcPr>
            <w:tcW w:w="2755" w:type="dxa"/>
            <w:vMerge/>
          </w:tcPr>
          <w:p w14:paraId="2E25213D" w14:textId="77777777" w:rsidR="00D63255" w:rsidRDefault="00D63255" w:rsidP="006F1BDA"/>
        </w:tc>
        <w:tc>
          <w:tcPr>
            <w:tcW w:w="1469" w:type="dxa"/>
            <w:vMerge/>
          </w:tcPr>
          <w:p w14:paraId="6178F527" w14:textId="77777777" w:rsidR="00D63255" w:rsidRDefault="00D63255" w:rsidP="006F1BDA"/>
        </w:tc>
        <w:tc>
          <w:tcPr>
            <w:tcW w:w="4944" w:type="dxa"/>
            <w:gridSpan w:val="3"/>
          </w:tcPr>
          <w:p w14:paraId="7861CAC2" w14:textId="77777777" w:rsidR="00D63255" w:rsidRDefault="00D63255" w:rsidP="006F1BDA">
            <w:pPr>
              <w:pStyle w:val="TableParagraph"/>
              <w:rPr>
                <w:sz w:val="24"/>
              </w:rPr>
            </w:pPr>
            <w:r>
              <w:rPr>
                <w:color w:val="501010"/>
                <w:sz w:val="24"/>
              </w:rPr>
              <w:t>Dietary Restrictions</w:t>
            </w:r>
          </w:p>
        </w:tc>
      </w:tr>
      <w:tr w:rsidR="00D63255" w14:paraId="668D4F66" w14:textId="77777777" w:rsidTr="006F1BDA">
        <w:trPr>
          <w:trHeight w:hRule="exact" w:val="335"/>
        </w:trPr>
        <w:tc>
          <w:tcPr>
            <w:tcW w:w="2755" w:type="dxa"/>
            <w:vMerge/>
          </w:tcPr>
          <w:p w14:paraId="2161B2DD" w14:textId="77777777" w:rsidR="00D63255" w:rsidRDefault="00D63255" w:rsidP="006F1BDA"/>
        </w:tc>
        <w:tc>
          <w:tcPr>
            <w:tcW w:w="1469" w:type="dxa"/>
            <w:vMerge/>
          </w:tcPr>
          <w:p w14:paraId="3C177ACA" w14:textId="77777777" w:rsidR="00D63255" w:rsidRDefault="00D63255" w:rsidP="006F1BDA"/>
        </w:tc>
        <w:tc>
          <w:tcPr>
            <w:tcW w:w="4944" w:type="dxa"/>
            <w:gridSpan w:val="3"/>
          </w:tcPr>
          <w:p w14:paraId="6BCE5B31" w14:textId="7144B6E2" w:rsidR="00D63255" w:rsidRDefault="000B3209" w:rsidP="006F1BDA">
            <w:pPr>
              <w:pStyle w:val="TableParagraph"/>
              <w:rPr>
                <w:sz w:val="24"/>
              </w:rPr>
            </w:pPr>
            <w:r>
              <w:rPr>
                <w:color w:val="501010"/>
                <w:sz w:val="24"/>
              </w:rPr>
              <w:t>Special Requests</w:t>
            </w:r>
            <w:bookmarkStart w:id="0" w:name="_GoBack"/>
            <w:bookmarkEnd w:id="0"/>
          </w:p>
        </w:tc>
      </w:tr>
      <w:tr w:rsidR="00D63255" w14:paraId="325556C0" w14:textId="77777777" w:rsidTr="006F1BDA">
        <w:trPr>
          <w:trHeight w:hRule="exact" w:val="346"/>
        </w:trPr>
        <w:tc>
          <w:tcPr>
            <w:tcW w:w="2755" w:type="dxa"/>
            <w:vMerge/>
          </w:tcPr>
          <w:p w14:paraId="562BEBC6" w14:textId="77777777" w:rsidR="00D63255" w:rsidRDefault="00D63255" w:rsidP="006F1BDA"/>
        </w:tc>
        <w:tc>
          <w:tcPr>
            <w:tcW w:w="6412" w:type="dxa"/>
            <w:gridSpan w:val="4"/>
          </w:tcPr>
          <w:p w14:paraId="6E00DE19" w14:textId="044EE7B4" w:rsidR="00D63255" w:rsidRDefault="007A7E46" w:rsidP="006F1BDA">
            <w:pPr>
              <w:pStyle w:val="TableParagraph"/>
              <w:rPr>
                <w:sz w:val="24"/>
              </w:rPr>
            </w:pPr>
            <w:r>
              <w:rPr>
                <w:color w:val="501010"/>
                <w:sz w:val="24"/>
              </w:rPr>
              <w:t>Fishtech</w:t>
            </w:r>
            <w:r w:rsidR="00D63255">
              <w:rPr>
                <w:color w:val="501010"/>
                <w:sz w:val="24"/>
              </w:rPr>
              <w:t xml:space="preserve"> Attendees from the field</w:t>
            </w:r>
          </w:p>
        </w:tc>
      </w:tr>
      <w:tr w:rsidR="00D63255" w14:paraId="53C59945" w14:textId="77777777" w:rsidTr="006F1BDA">
        <w:trPr>
          <w:trHeight w:hRule="exact" w:val="161"/>
        </w:trPr>
        <w:tc>
          <w:tcPr>
            <w:tcW w:w="9167" w:type="dxa"/>
            <w:gridSpan w:val="5"/>
            <w:shd w:val="clear" w:color="auto" w:fill="C4C6C8"/>
          </w:tcPr>
          <w:p w14:paraId="0EEDCC5C" w14:textId="77777777" w:rsidR="00D63255" w:rsidRDefault="00D63255" w:rsidP="006F1BDA"/>
        </w:tc>
      </w:tr>
      <w:tr w:rsidR="00D63255" w14:paraId="43E6B877" w14:textId="77777777" w:rsidTr="006F1BDA">
        <w:trPr>
          <w:trHeight w:hRule="exact" w:val="386"/>
        </w:trPr>
        <w:tc>
          <w:tcPr>
            <w:tcW w:w="2755" w:type="dxa"/>
            <w:vMerge w:val="restart"/>
          </w:tcPr>
          <w:p w14:paraId="5E95E094" w14:textId="77777777" w:rsidR="00D63255" w:rsidRDefault="00D63255" w:rsidP="006F1BDA">
            <w:pPr>
              <w:pStyle w:val="TableParagraph"/>
              <w:spacing w:before="232"/>
              <w:rPr>
                <w:b/>
                <w:sz w:val="24"/>
              </w:rPr>
            </w:pPr>
            <w:r>
              <w:rPr>
                <w:b/>
                <w:color w:val="636670"/>
                <w:sz w:val="24"/>
              </w:rPr>
              <w:t>Company Background</w:t>
            </w:r>
          </w:p>
        </w:tc>
        <w:tc>
          <w:tcPr>
            <w:tcW w:w="1469" w:type="dxa"/>
          </w:tcPr>
          <w:p w14:paraId="36D578EA" w14:textId="77777777" w:rsidR="00D63255" w:rsidRDefault="00D63255" w:rsidP="006F1BDA">
            <w:pPr>
              <w:pStyle w:val="TableParagraph"/>
              <w:rPr>
                <w:sz w:val="24"/>
              </w:rPr>
            </w:pPr>
            <w:r>
              <w:rPr>
                <w:color w:val="501010"/>
                <w:sz w:val="24"/>
              </w:rPr>
              <w:t>Founded</w:t>
            </w:r>
          </w:p>
        </w:tc>
        <w:tc>
          <w:tcPr>
            <w:tcW w:w="1584" w:type="dxa"/>
          </w:tcPr>
          <w:p w14:paraId="368C791B" w14:textId="77777777" w:rsidR="00D63255" w:rsidRDefault="00D63255" w:rsidP="006F1BDA">
            <w:pPr>
              <w:pStyle w:val="TableParagraph"/>
              <w:rPr>
                <w:sz w:val="24"/>
              </w:rPr>
            </w:pPr>
            <w:r>
              <w:rPr>
                <w:color w:val="501010"/>
                <w:sz w:val="24"/>
              </w:rPr>
              <w:t>Customers</w:t>
            </w:r>
          </w:p>
        </w:tc>
        <w:tc>
          <w:tcPr>
            <w:tcW w:w="3360" w:type="dxa"/>
            <w:gridSpan w:val="2"/>
          </w:tcPr>
          <w:p w14:paraId="460EE151" w14:textId="77777777" w:rsidR="00D63255" w:rsidRDefault="00D63255" w:rsidP="006F1BDA">
            <w:pPr>
              <w:pStyle w:val="TableParagraph"/>
              <w:rPr>
                <w:sz w:val="24"/>
              </w:rPr>
            </w:pPr>
            <w:r>
              <w:rPr>
                <w:color w:val="501010"/>
                <w:sz w:val="24"/>
              </w:rPr>
              <w:t>Revenue</w:t>
            </w:r>
          </w:p>
        </w:tc>
      </w:tr>
      <w:tr w:rsidR="00D63255" w14:paraId="100F8B5C" w14:textId="77777777" w:rsidTr="006F1BDA">
        <w:trPr>
          <w:trHeight w:hRule="exact" w:val="374"/>
        </w:trPr>
        <w:tc>
          <w:tcPr>
            <w:tcW w:w="2755" w:type="dxa"/>
            <w:vMerge/>
          </w:tcPr>
          <w:p w14:paraId="053F977C" w14:textId="77777777" w:rsidR="00D63255" w:rsidRDefault="00D63255" w:rsidP="006F1BDA"/>
        </w:tc>
        <w:tc>
          <w:tcPr>
            <w:tcW w:w="3053" w:type="dxa"/>
            <w:gridSpan w:val="2"/>
          </w:tcPr>
          <w:p w14:paraId="73A312E3" w14:textId="77777777" w:rsidR="00D63255" w:rsidRDefault="00D63255" w:rsidP="006F1BDA">
            <w:pPr>
              <w:pStyle w:val="TableParagraph"/>
              <w:rPr>
                <w:sz w:val="24"/>
              </w:rPr>
            </w:pPr>
            <w:r>
              <w:rPr>
                <w:color w:val="501010"/>
                <w:sz w:val="24"/>
              </w:rPr>
              <w:t>Number of</w:t>
            </w:r>
            <w:r>
              <w:rPr>
                <w:color w:val="501010"/>
                <w:spacing w:val="60"/>
                <w:sz w:val="24"/>
              </w:rPr>
              <w:t xml:space="preserve"> </w:t>
            </w:r>
            <w:r>
              <w:rPr>
                <w:color w:val="501010"/>
                <w:sz w:val="24"/>
              </w:rPr>
              <w:t>Employees</w:t>
            </w:r>
          </w:p>
        </w:tc>
        <w:tc>
          <w:tcPr>
            <w:tcW w:w="3360" w:type="dxa"/>
            <w:gridSpan w:val="2"/>
          </w:tcPr>
          <w:p w14:paraId="52187A10" w14:textId="77777777" w:rsidR="00D63255" w:rsidRDefault="00D63255" w:rsidP="006F1BDA">
            <w:pPr>
              <w:pStyle w:val="TableParagraph"/>
              <w:rPr>
                <w:sz w:val="24"/>
              </w:rPr>
            </w:pPr>
            <w:r>
              <w:rPr>
                <w:color w:val="501010"/>
                <w:sz w:val="24"/>
              </w:rPr>
              <w:t>Headquarters</w:t>
            </w:r>
          </w:p>
        </w:tc>
      </w:tr>
      <w:tr w:rsidR="00D63255" w14:paraId="3014752E" w14:textId="77777777" w:rsidTr="006F1BDA">
        <w:trPr>
          <w:trHeight w:hRule="exact" w:val="161"/>
        </w:trPr>
        <w:tc>
          <w:tcPr>
            <w:tcW w:w="9167" w:type="dxa"/>
            <w:gridSpan w:val="5"/>
            <w:shd w:val="clear" w:color="auto" w:fill="C4C6C8"/>
          </w:tcPr>
          <w:p w14:paraId="3F621034" w14:textId="77777777" w:rsidR="00D63255" w:rsidRDefault="00D63255" w:rsidP="006F1BDA"/>
        </w:tc>
      </w:tr>
      <w:tr w:rsidR="00D63255" w14:paraId="6A84EB90" w14:textId="77777777" w:rsidTr="006F1BDA">
        <w:trPr>
          <w:trHeight w:hRule="exact" w:val="415"/>
        </w:trPr>
        <w:tc>
          <w:tcPr>
            <w:tcW w:w="2755" w:type="dxa"/>
            <w:vMerge w:val="restart"/>
          </w:tcPr>
          <w:p w14:paraId="1BE03AD5" w14:textId="77777777" w:rsidR="00D63255" w:rsidRDefault="00D63255" w:rsidP="006F1BDA">
            <w:pPr>
              <w:pStyle w:val="TableParagraph"/>
              <w:spacing w:before="0"/>
              <w:ind w:left="0"/>
              <w:rPr>
                <w:sz w:val="26"/>
              </w:rPr>
            </w:pPr>
          </w:p>
          <w:p w14:paraId="043DBE0C" w14:textId="77777777" w:rsidR="00D63255" w:rsidRDefault="00D63255" w:rsidP="006F1BDA">
            <w:pPr>
              <w:pStyle w:val="TableParagraph"/>
              <w:spacing w:before="5"/>
              <w:ind w:left="0"/>
              <w:rPr>
                <w:sz w:val="25"/>
              </w:rPr>
            </w:pPr>
          </w:p>
          <w:p w14:paraId="4FB07C78" w14:textId="77777777" w:rsidR="00D63255" w:rsidRDefault="00D63255" w:rsidP="006F1BDA">
            <w:pPr>
              <w:pStyle w:val="TableParagraph"/>
              <w:spacing w:before="1" w:line="249" w:lineRule="auto"/>
              <w:ind w:right="70"/>
              <w:rPr>
                <w:b/>
                <w:sz w:val="24"/>
              </w:rPr>
            </w:pPr>
            <w:r>
              <w:rPr>
                <w:b/>
                <w:color w:val="636670"/>
                <w:sz w:val="24"/>
              </w:rPr>
              <w:t>Business Relationship Details</w:t>
            </w:r>
          </w:p>
        </w:tc>
        <w:tc>
          <w:tcPr>
            <w:tcW w:w="6412" w:type="dxa"/>
            <w:gridSpan w:val="4"/>
          </w:tcPr>
          <w:p w14:paraId="40A3E494" w14:textId="43FDA494" w:rsidR="00D63255" w:rsidRDefault="007A7E46" w:rsidP="006F1BDA">
            <w:pPr>
              <w:pStyle w:val="TableParagraph"/>
              <w:rPr>
                <w:sz w:val="24"/>
              </w:rPr>
            </w:pPr>
            <w:r>
              <w:rPr>
                <w:color w:val="501010"/>
                <w:sz w:val="24"/>
              </w:rPr>
              <w:t>Length of Relationship with Fishtech</w:t>
            </w:r>
          </w:p>
        </w:tc>
      </w:tr>
      <w:tr w:rsidR="00D63255" w14:paraId="57DA26D6" w14:textId="77777777" w:rsidTr="006F1BDA">
        <w:trPr>
          <w:trHeight w:hRule="exact" w:val="335"/>
        </w:trPr>
        <w:tc>
          <w:tcPr>
            <w:tcW w:w="2755" w:type="dxa"/>
            <w:vMerge/>
          </w:tcPr>
          <w:p w14:paraId="084DDF70" w14:textId="77777777" w:rsidR="00D63255" w:rsidRDefault="00D63255" w:rsidP="006F1BDA"/>
        </w:tc>
        <w:tc>
          <w:tcPr>
            <w:tcW w:w="4435" w:type="dxa"/>
            <w:gridSpan w:val="3"/>
          </w:tcPr>
          <w:p w14:paraId="2E818349" w14:textId="77777777" w:rsidR="00D63255" w:rsidRDefault="00D63255" w:rsidP="006F1BDA">
            <w:pPr>
              <w:pStyle w:val="TableParagraph"/>
              <w:rPr>
                <w:sz w:val="24"/>
              </w:rPr>
            </w:pPr>
            <w:r>
              <w:rPr>
                <w:color w:val="501010"/>
                <w:sz w:val="24"/>
              </w:rPr>
              <w:t>Previous Year Business Mix</w:t>
            </w:r>
          </w:p>
        </w:tc>
        <w:tc>
          <w:tcPr>
            <w:tcW w:w="1977" w:type="dxa"/>
          </w:tcPr>
          <w:p w14:paraId="399658D1" w14:textId="77777777" w:rsidR="00D63255" w:rsidRDefault="00D63255" w:rsidP="006F1BDA">
            <w:pPr>
              <w:pStyle w:val="TableParagraph"/>
              <w:rPr>
                <w:sz w:val="24"/>
              </w:rPr>
            </w:pPr>
            <w:r>
              <w:rPr>
                <w:color w:val="501010"/>
                <w:sz w:val="24"/>
              </w:rPr>
              <w:t>YTD Spend</w:t>
            </w:r>
          </w:p>
        </w:tc>
      </w:tr>
      <w:tr w:rsidR="00D63255" w14:paraId="102BB8A0" w14:textId="77777777" w:rsidTr="006F1BDA">
        <w:trPr>
          <w:trHeight w:hRule="exact" w:val="335"/>
        </w:trPr>
        <w:tc>
          <w:tcPr>
            <w:tcW w:w="2755" w:type="dxa"/>
            <w:vMerge/>
          </w:tcPr>
          <w:p w14:paraId="6710C292" w14:textId="77777777" w:rsidR="00D63255" w:rsidRDefault="00D63255" w:rsidP="006F1BDA"/>
        </w:tc>
        <w:tc>
          <w:tcPr>
            <w:tcW w:w="3053" w:type="dxa"/>
            <w:gridSpan w:val="2"/>
          </w:tcPr>
          <w:p w14:paraId="09054B49" w14:textId="77777777" w:rsidR="00D63255" w:rsidRDefault="00D63255" w:rsidP="006F1BDA">
            <w:pPr>
              <w:pStyle w:val="TableParagraph"/>
              <w:rPr>
                <w:sz w:val="24"/>
              </w:rPr>
            </w:pPr>
            <w:r>
              <w:rPr>
                <w:color w:val="501010"/>
                <w:sz w:val="24"/>
              </w:rPr>
              <w:t>Products</w:t>
            </w:r>
          </w:p>
        </w:tc>
        <w:tc>
          <w:tcPr>
            <w:tcW w:w="1382" w:type="dxa"/>
          </w:tcPr>
          <w:p w14:paraId="2B25E6BE" w14:textId="77777777" w:rsidR="00D63255" w:rsidRDefault="00D63255" w:rsidP="006F1BDA">
            <w:pPr>
              <w:pStyle w:val="TableParagraph"/>
              <w:rPr>
                <w:sz w:val="24"/>
              </w:rPr>
            </w:pPr>
            <w:r>
              <w:rPr>
                <w:color w:val="501010"/>
                <w:sz w:val="24"/>
              </w:rPr>
              <w:t>Sold</w:t>
            </w:r>
          </w:p>
        </w:tc>
        <w:tc>
          <w:tcPr>
            <w:tcW w:w="1977" w:type="dxa"/>
          </w:tcPr>
          <w:p w14:paraId="6811DBD7" w14:textId="77777777" w:rsidR="00D63255" w:rsidRDefault="00D63255" w:rsidP="006F1BDA">
            <w:pPr>
              <w:pStyle w:val="TableParagraph"/>
              <w:rPr>
                <w:sz w:val="24"/>
              </w:rPr>
            </w:pPr>
            <w:r>
              <w:rPr>
                <w:color w:val="501010"/>
                <w:sz w:val="24"/>
              </w:rPr>
              <w:t>YTD</w:t>
            </w:r>
          </w:p>
        </w:tc>
      </w:tr>
      <w:tr w:rsidR="00D63255" w14:paraId="02EEAD60" w14:textId="77777777" w:rsidTr="006F1BDA">
        <w:trPr>
          <w:trHeight w:hRule="exact" w:val="335"/>
        </w:trPr>
        <w:tc>
          <w:tcPr>
            <w:tcW w:w="2755" w:type="dxa"/>
            <w:vMerge/>
          </w:tcPr>
          <w:p w14:paraId="78568CB7" w14:textId="77777777" w:rsidR="00D63255" w:rsidRDefault="00D63255" w:rsidP="006F1BDA"/>
        </w:tc>
        <w:tc>
          <w:tcPr>
            <w:tcW w:w="3053" w:type="dxa"/>
            <w:gridSpan w:val="2"/>
          </w:tcPr>
          <w:p w14:paraId="2B614A55" w14:textId="77777777" w:rsidR="00D63255" w:rsidRDefault="00D63255" w:rsidP="006F1BDA">
            <w:pPr>
              <w:pStyle w:val="TableParagraph"/>
              <w:rPr>
                <w:sz w:val="24"/>
              </w:rPr>
            </w:pPr>
            <w:r>
              <w:rPr>
                <w:color w:val="501010"/>
                <w:sz w:val="24"/>
              </w:rPr>
              <w:t>Services</w:t>
            </w:r>
          </w:p>
        </w:tc>
        <w:tc>
          <w:tcPr>
            <w:tcW w:w="1382" w:type="dxa"/>
          </w:tcPr>
          <w:p w14:paraId="4E6D707A" w14:textId="77777777" w:rsidR="00D63255" w:rsidRDefault="00D63255" w:rsidP="006F1BDA">
            <w:pPr>
              <w:pStyle w:val="TableParagraph"/>
              <w:rPr>
                <w:sz w:val="24"/>
              </w:rPr>
            </w:pPr>
            <w:r>
              <w:rPr>
                <w:color w:val="501010"/>
                <w:sz w:val="24"/>
              </w:rPr>
              <w:t>Sold</w:t>
            </w:r>
          </w:p>
        </w:tc>
        <w:tc>
          <w:tcPr>
            <w:tcW w:w="1977" w:type="dxa"/>
          </w:tcPr>
          <w:p w14:paraId="5780CABE" w14:textId="77777777" w:rsidR="00D63255" w:rsidRDefault="00D63255" w:rsidP="006F1BDA">
            <w:pPr>
              <w:pStyle w:val="TableParagraph"/>
              <w:rPr>
                <w:sz w:val="24"/>
              </w:rPr>
            </w:pPr>
            <w:r>
              <w:rPr>
                <w:color w:val="501010"/>
                <w:sz w:val="24"/>
              </w:rPr>
              <w:t>YTD</w:t>
            </w:r>
          </w:p>
        </w:tc>
      </w:tr>
      <w:tr w:rsidR="00D63255" w14:paraId="62E08B64" w14:textId="77777777" w:rsidTr="006F1BDA">
        <w:trPr>
          <w:trHeight w:hRule="exact" w:val="349"/>
        </w:trPr>
        <w:tc>
          <w:tcPr>
            <w:tcW w:w="2755" w:type="dxa"/>
            <w:vMerge/>
          </w:tcPr>
          <w:p w14:paraId="197DE0E4" w14:textId="77777777" w:rsidR="00D63255" w:rsidRDefault="00D63255" w:rsidP="006F1BDA"/>
        </w:tc>
        <w:tc>
          <w:tcPr>
            <w:tcW w:w="3053" w:type="dxa"/>
            <w:gridSpan w:val="2"/>
          </w:tcPr>
          <w:p w14:paraId="0D295A55" w14:textId="77777777" w:rsidR="00D63255" w:rsidRDefault="00D63255" w:rsidP="006F1BDA">
            <w:pPr>
              <w:pStyle w:val="TableParagraph"/>
              <w:rPr>
                <w:sz w:val="24"/>
              </w:rPr>
            </w:pPr>
            <w:r>
              <w:rPr>
                <w:color w:val="501010"/>
                <w:sz w:val="24"/>
              </w:rPr>
              <w:t>Current Pipeline</w:t>
            </w:r>
          </w:p>
        </w:tc>
        <w:tc>
          <w:tcPr>
            <w:tcW w:w="1382" w:type="dxa"/>
          </w:tcPr>
          <w:p w14:paraId="067B2EA6" w14:textId="77777777" w:rsidR="00D63255" w:rsidRDefault="00D63255" w:rsidP="006F1BDA"/>
        </w:tc>
        <w:tc>
          <w:tcPr>
            <w:tcW w:w="1977" w:type="dxa"/>
          </w:tcPr>
          <w:p w14:paraId="3EB93985" w14:textId="77777777" w:rsidR="00D63255" w:rsidRDefault="00D63255" w:rsidP="006F1BDA"/>
        </w:tc>
      </w:tr>
      <w:tr w:rsidR="00D63255" w14:paraId="3597F082" w14:textId="77777777" w:rsidTr="006F1BDA">
        <w:trPr>
          <w:trHeight w:hRule="exact" w:val="161"/>
        </w:trPr>
        <w:tc>
          <w:tcPr>
            <w:tcW w:w="9167" w:type="dxa"/>
            <w:gridSpan w:val="5"/>
            <w:shd w:val="clear" w:color="auto" w:fill="C4C6C8"/>
          </w:tcPr>
          <w:p w14:paraId="5B5060A1" w14:textId="77777777" w:rsidR="00D63255" w:rsidRDefault="00D63255" w:rsidP="006F1BDA"/>
        </w:tc>
      </w:tr>
      <w:tr w:rsidR="00D63255" w14:paraId="76ADC851" w14:textId="77777777" w:rsidTr="006F1BDA">
        <w:trPr>
          <w:trHeight w:hRule="exact" w:val="335"/>
        </w:trPr>
        <w:tc>
          <w:tcPr>
            <w:tcW w:w="2755" w:type="dxa"/>
            <w:vMerge w:val="restart"/>
          </w:tcPr>
          <w:p w14:paraId="20F273E9" w14:textId="77777777" w:rsidR="00D63255" w:rsidRDefault="00D63255" w:rsidP="006F1BDA">
            <w:pPr>
              <w:pStyle w:val="TableParagraph"/>
              <w:spacing w:before="0"/>
              <w:ind w:left="0"/>
              <w:rPr>
                <w:sz w:val="26"/>
              </w:rPr>
            </w:pPr>
          </w:p>
          <w:p w14:paraId="10556C77" w14:textId="77777777" w:rsidR="00D63255" w:rsidRDefault="00D63255" w:rsidP="006F1BDA">
            <w:pPr>
              <w:pStyle w:val="TableParagraph"/>
              <w:spacing w:before="0"/>
              <w:ind w:left="0"/>
              <w:rPr>
                <w:sz w:val="26"/>
              </w:rPr>
            </w:pPr>
          </w:p>
          <w:p w14:paraId="382EDB43" w14:textId="77777777" w:rsidR="00D63255" w:rsidRDefault="00D63255" w:rsidP="006F1BDA">
            <w:pPr>
              <w:pStyle w:val="TableParagraph"/>
              <w:spacing w:before="219"/>
              <w:rPr>
                <w:b/>
                <w:sz w:val="24"/>
              </w:rPr>
            </w:pPr>
            <w:r>
              <w:rPr>
                <w:b/>
                <w:color w:val="636670"/>
                <w:sz w:val="24"/>
              </w:rPr>
              <w:t>Briefing Center</w:t>
            </w:r>
          </w:p>
          <w:p w14:paraId="789E5E7F" w14:textId="77777777" w:rsidR="00D63255" w:rsidRDefault="00D63255" w:rsidP="006F1BDA">
            <w:pPr>
              <w:pStyle w:val="TableParagraph"/>
              <w:spacing w:before="12"/>
              <w:rPr>
                <w:b/>
                <w:sz w:val="24"/>
              </w:rPr>
            </w:pPr>
            <w:r>
              <w:rPr>
                <w:b/>
                <w:color w:val="636670"/>
                <w:sz w:val="24"/>
              </w:rPr>
              <w:t>Content</w:t>
            </w:r>
          </w:p>
        </w:tc>
        <w:tc>
          <w:tcPr>
            <w:tcW w:w="6412" w:type="dxa"/>
            <w:gridSpan w:val="4"/>
          </w:tcPr>
          <w:p w14:paraId="6E9C2113" w14:textId="77777777" w:rsidR="00D63255" w:rsidRDefault="00D63255" w:rsidP="006F1BDA">
            <w:pPr>
              <w:pStyle w:val="TableParagraph"/>
              <w:rPr>
                <w:sz w:val="24"/>
              </w:rPr>
            </w:pPr>
            <w:r>
              <w:rPr>
                <w:color w:val="501010"/>
                <w:sz w:val="24"/>
              </w:rPr>
              <w:t>Practices / Offerings to Cover</w:t>
            </w:r>
          </w:p>
        </w:tc>
      </w:tr>
      <w:tr w:rsidR="00D63255" w14:paraId="42882694" w14:textId="77777777" w:rsidTr="006F1BDA">
        <w:trPr>
          <w:trHeight w:hRule="exact" w:val="378"/>
        </w:trPr>
        <w:tc>
          <w:tcPr>
            <w:tcW w:w="2755" w:type="dxa"/>
            <w:vMerge/>
          </w:tcPr>
          <w:p w14:paraId="03EAB35B" w14:textId="77777777" w:rsidR="00D63255" w:rsidRDefault="00D63255" w:rsidP="006F1BDA"/>
        </w:tc>
        <w:tc>
          <w:tcPr>
            <w:tcW w:w="6412" w:type="dxa"/>
            <w:gridSpan w:val="4"/>
          </w:tcPr>
          <w:p w14:paraId="5DEF5B23" w14:textId="77777777" w:rsidR="00D63255" w:rsidRDefault="00D63255" w:rsidP="006F1BDA">
            <w:pPr>
              <w:pStyle w:val="TableParagraph"/>
              <w:rPr>
                <w:sz w:val="24"/>
              </w:rPr>
            </w:pPr>
            <w:r>
              <w:rPr>
                <w:color w:val="501010"/>
                <w:sz w:val="24"/>
              </w:rPr>
              <w:t>Open Opportunities to Advance with EBC</w:t>
            </w:r>
          </w:p>
        </w:tc>
      </w:tr>
      <w:tr w:rsidR="00D63255" w14:paraId="6BFBCBD4" w14:textId="77777777" w:rsidTr="006F1BDA">
        <w:trPr>
          <w:trHeight w:hRule="exact" w:val="417"/>
        </w:trPr>
        <w:tc>
          <w:tcPr>
            <w:tcW w:w="2755" w:type="dxa"/>
            <w:vMerge/>
          </w:tcPr>
          <w:p w14:paraId="7C3CE5F0" w14:textId="77777777" w:rsidR="00D63255" w:rsidRDefault="00D63255" w:rsidP="006F1BDA"/>
        </w:tc>
        <w:tc>
          <w:tcPr>
            <w:tcW w:w="3053" w:type="dxa"/>
            <w:gridSpan w:val="2"/>
          </w:tcPr>
          <w:p w14:paraId="474E10CA" w14:textId="77777777" w:rsidR="00D63255" w:rsidRDefault="00D63255" w:rsidP="006F1BDA">
            <w:pPr>
              <w:pStyle w:val="TableParagraph"/>
              <w:rPr>
                <w:sz w:val="24"/>
              </w:rPr>
            </w:pPr>
            <w:r>
              <w:rPr>
                <w:color w:val="501010"/>
                <w:sz w:val="24"/>
              </w:rPr>
              <w:t>Topics to Avoid</w:t>
            </w:r>
          </w:p>
        </w:tc>
        <w:tc>
          <w:tcPr>
            <w:tcW w:w="3360" w:type="dxa"/>
            <w:gridSpan w:val="2"/>
          </w:tcPr>
          <w:p w14:paraId="18E6DEBE" w14:textId="77777777" w:rsidR="00D63255" w:rsidRDefault="00D63255" w:rsidP="006F1BDA">
            <w:pPr>
              <w:pStyle w:val="TableParagraph"/>
              <w:rPr>
                <w:sz w:val="24"/>
              </w:rPr>
            </w:pPr>
            <w:r>
              <w:rPr>
                <w:color w:val="501010"/>
                <w:sz w:val="24"/>
              </w:rPr>
              <w:t>Special Touches</w:t>
            </w:r>
          </w:p>
        </w:tc>
      </w:tr>
      <w:tr w:rsidR="00D63255" w14:paraId="088755EE" w14:textId="77777777" w:rsidTr="006F1BDA">
        <w:trPr>
          <w:trHeight w:hRule="exact" w:val="376"/>
        </w:trPr>
        <w:tc>
          <w:tcPr>
            <w:tcW w:w="2755" w:type="dxa"/>
            <w:vMerge/>
          </w:tcPr>
          <w:p w14:paraId="35C775AF" w14:textId="77777777" w:rsidR="00D63255" w:rsidRDefault="00D63255" w:rsidP="006F1BDA"/>
        </w:tc>
        <w:tc>
          <w:tcPr>
            <w:tcW w:w="6412" w:type="dxa"/>
            <w:gridSpan w:val="4"/>
          </w:tcPr>
          <w:p w14:paraId="3FFA832E" w14:textId="77777777" w:rsidR="00D63255" w:rsidRDefault="00D63255" w:rsidP="006F1BDA">
            <w:pPr>
              <w:pStyle w:val="TableParagraph"/>
              <w:rPr>
                <w:sz w:val="24"/>
              </w:rPr>
            </w:pPr>
            <w:r>
              <w:rPr>
                <w:color w:val="501010"/>
                <w:sz w:val="24"/>
              </w:rPr>
              <w:t>Consistent Message to Incorporate th</w:t>
            </w:r>
            <w:r w:rsidR="000D6948">
              <w:rPr>
                <w:color w:val="501010"/>
                <w:sz w:val="24"/>
              </w:rPr>
              <w:t>r</w:t>
            </w:r>
            <w:r>
              <w:rPr>
                <w:color w:val="501010"/>
                <w:sz w:val="24"/>
              </w:rPr>
              <w:t>oughout All Sessions</w:t>
            </w:r>
          </w:p>
        </w:tc>
      </w:tr>
      <w:tr w:rsidR="00D63255" w14:paraId="6B5CA05E" w14:textId="77777777" w:rsidTr="006F1BDA">
        <w:trPr>
          <w:trHeight w:hRule="exact" w:val="335"/>
        </w:trPr>
        <w:tc>
          <w:tcPr>
            <w:tcW w:w="2755" w:type="dxa"/>
            <w:vMerge/>
          </w:tcPr>
          <w:p w14:paraId="4AF8333F" w14:textId="77777777" w:rsidR="00D63255" w:rsidRDefault="00D63255" w:rsidP="006F1BDA"/>
        </w:tc>
        <w:tc>
          <w:tcPr>
            <w:tcW w:w="6412" w:type="dxa"/>
            <w:gridSpan w:val="4"/>
          </w:tcPr>
          <w:p w14:paraId="2ED2E309" w14:textId="77777777" w:rsidR="00D63255" w:rsidRDefault="00D63255" w:rsidP="006F1BDA">
            <w:pPr>
              <w:pStyle w:val="TableParagraph"/>
              <w:rPr>
                <w:sz w:val="24"/>
              </w:rPr>
            </w:pPr>
            <w:r>
              <w:rPr>
                <w:color w:val="501010"/>
                <w:sz w:val="24"/>
              </w:rPr>
              <w:t>What is the Desired Outcome?</w:t>
            </w:r>
          </w:p>
        </w:tc>
      </w:tr>
      <w:tr w:rsidR="00D63255" w14:paraId="2C35B3CA" w14:textId="77777777" w:rsidTr="006F1BDA">
        <w:trPr>
          <w:trHeight w:hRule="exact" w:val="377"/>
        </w:trPr>
        <w:tc>
          <w:tcPr>
            <w:tcW w:w="2755" w:type="dxa"/>
            <w:vMerge/>
          </w:tcPr>
          <w:p w14:paraId="5B8116A8" w14:textId="77777777" w:rsidR="00D63255" w:rsidRDefault="00D63255" w:rsidP="006F1BDA"/>
        </w:tc>
        <w:tc>
          <w:tcPr>
            <w:tcW w:w="6412" w:type="dxa"/>
            <w:gridSpan w:val="4"/>
          </w:tcPr>
          <w:p w14:paraId="024F0313" w14:textId="77777777" w:rsidR="00D63255" w:rsidRDefault="00D63255" w:rsidP="006F1BDA">
            <w:pPr>
              <w:pStyle w:val="TableParagraph"/>
              <w:rPr>
                <w:sz w:val="24"/>
              </w:rPr>
            </w:pPr>
            <w:r>
              <w:rPr>
                <w:color w:val="501010"/>
                <w:sz w:val="24"/>
              </w:rPr>
              <w:t>Opportunities will be Tied to the Following Campaign</w:t>
            </w:r>
          </w:p>
        </w:tc>
      </w:tr>
    </w:tbl>
    <w:p w14:paraId="6B83F221" w14:textId="77777777" w:rsidR="001132E1" w:rsidRDefault="001132E1"/>
    <w:sectPr w:rsidR="001132E1" w:rsidSect="00DD3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D7A5E"/>
    <w:multiLevelType w:val="hybridMultilevel"/>
    <w:tmpl w:val="6D9EB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C54E18"/>
    <w:multiLevelType w:val="hybridMultilevel"/>
    <w:tmpl w:val="6D06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87134B"/>
    <w:multiLevelType w:val="hybridMultilevel"/>
    <w:tmpl w:val="B3183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D85844"/>
    <w:multiLevelType w:val="hybridMultilevel"/>
    <w:tmpl w:val="D2966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E806BE"/>
    <w:multiLevelType w:val="hybridMultilevel"/>
    <w:tmpl w:val="9DF42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097"/>
    <w:rsid w:val="000B3209"/>
    <w:rsid w:val="000D6948"/>
    <w:rsid w:val="001132E1"/>
    <w:rsid w:val="003315A0"/>
    <w:rsid w:val="003B1DDC"/>
    <w:rsid w:val="00523427"/>
    <w:rsid w:val="00675C18"/>
    <w:rsid w:val="00742F08"/>
    <w:rsid w:val="007A7E46"/>
    <w:rsid w:val="007D6AE3"/>
    <w:rsid w:val="008C48A0"/>
    <w:rsid w:val="00BE5097"/>
    <w:rsid w:val="00D63255"/>
    <w:rsid w:val="00D6476E"/>
    <w:rsid w:val="00DD39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2D57C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D63255"/>
    <w:pPr>
      <w:widowControl w:val="0"/>
      <w:autoSpaceDE w:val="0"/>
      <w:autoSpaceDN w:val="0"/>
      <w:spacing w:before="19"/>
      <w:ind w:left="70"/>
    </w:pPr>
    <w:rPr>
      <w:rFonts w:ascii="Arial" w:eastAsia="Arial" w:hAnsi="Arial" w:cs="Arial"/>
      <w:sz w:val="22"/>
      <w:szCs w:val="22"/>
    </w:rPr>
  </w:style>
  <w:style w:type="paragraph" w:styleId="ListParagraph">
    <w:name w:val="List Paragraph"/>
    <w:basedOn w:val="Normal"/>
    <w:uiPriority w:val="34"/>
    <w:qFormat/>
    <w:rsid w:val="00D63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788</Words>
  <Characters>4494</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Potter</dc:creator>
  <cp:keywords/>
  <dc:description/>
  <cp:lastModifiedBy>Laura Potter</cp:lastModifiedBy>
  <cp:revision>3</cp:revision>
  <dcterms:created xsi:type="dcterms:W3CDTF">2017-06-15T20:40:00Z</dcterms:created>
  <dcterms:modified xsi:type="dcterms:W3CDTF">2017-06-15T20:41:00Z</dcterms:modified>
</cp:coreProperties>
</file>