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STAA</w:t>
      </w:r>
      <w:r>
        <w:t xml:space="preserve"> </w:t>
      </w:r>
      <w:r>
        <w:t xml:space="preserve">555:</w:t>
      </w:r>
      <w:r>
        <w:t xml:space="preserve"> </w:t>
      </w:r>
      <w:r>
        <w:t xml:space="preserve">Assignment</w:t>
      </w:r>
      <w:r>
        <w:t xml:space="preserve"> </w:t>
      </w:r>
      <w:r>
        <w:t xml:space="preserve">12</w:t>
      </w:r>
    </w:p>
    <w:p>
      <w:pPr>
        <w:pStyle w:val="Author"/>
      </w:pPr>
      <w:r>
        <w:t xml:space="preserve">Matthew</w:t>
      </w:r>
      <w:r>
        <w:t xml:space="preserve"> </w:t>
      </w:r>
      <w:r>
        <w:t xml:space="preserve">Stoebe</w:t>
      </w:r>
    </w:p>
    <w:bookmarkStart w:id="25" w:name="introduction"/>
    <w:p>
      <w:pPr>
        <w:pStyle w:val="Heading1"/>
      </w:pPr>
      <w:r>
        <w:rPr>
          <w:rStyle w:val="SectionNumber"/>
        </w:rPr>
        <w:t xml:space="preserve">1</w:t>
      </w:r>
      <w:r>
        <w:tab/>
      </w:r>
      <w:r>
        <w:t xml:space="preserve">Introduction</w:t>
      </w:r>
    </w:p>
    <w:p>
      <w:pPr>
        <w:pStyle w:val="FirstParagraph"/>
      </w:pPr>
      <w:r>
        <w:t xml:space="preserve">Roses are often kept in storage for extended periods before being planted. During storage, they are at risk of developing fungal spores. The goal of this study is to compare two anti-fungal treatments for roses. It is thought that the effect of the anti-fungal treatment may depend on soil moisture (water level).</w:t>
      </w:r>
    </w:p>
    <w:p>
      <w:pPr>
        <w:pStyle w:val="BodyText"/>
      </w:pPr>
      <w:r>
        <w:t xml:space="preserve">This study includes two anti-fungal treatments (A and B) and three water levels (low, medium, and high). Each combination of treatment and water level was randomly assigned to 10 rose bush plants, for a total of 60 rose bushes included in the study. The response variable is the number of fungal spores per plant at the end of the study period. Soil organic carbon was also measured for each plant at the end of the study period. The primary objective is to compare the average number of fungus spores per treatment, controlling for water level and soil organic carbon.</w:t>
      </w:r>
    </w:p>
    <w:p>
      <w:pPr>
        <w:pStyle w:val="TableCaption"/>
      </w:pPr>
      <w:bookmarkStart w:id="20" w:name="tab:spores-summary"/>
      <w:bookmarkEnd w:id="20"/>
      <w:r>
        <w:t xml:space="preserve">Table 1.1: Mean number of spores per plant …</w:t>
      </w:r>
    </w:p>
    <w:tbl>
      <w:tblPr>
        <w:tblStyle w:val="Table"/>
        <w:tblW w:type="auto" w:w="0"/>
        <w:tblLook w:firstRow="1" w:lastRow="0" w:firstColumn="0" w:lastColumn="0" w:noHBand="0" w:noVBand="0" w:val="0020"/>
        <w:tblCaption w:val="Table 1.1: Mean number of spores per plant …"/>
      </w:tblPr>
      <w:tblGrid>
        <w:gridCol w:w="1320"/>
        <w:gridCol w:w="1320"/>
        <w:gridCol w:w="1320"/>
        <w:gridCol w:w="1320"/>
        <w:gridCol w:w="1320"/>
        <w:gridCol w:w="1320"/>
      </w:tblGrid>
      <w:tr>
        <w:trPr>
          <w:tblHeader w:val="on"/>
        </w:trPr>
        <w:tc>
          <w:tcPr/>
          <w:p>
            <w:pPr>
              <w:pStyle w:val="Compact"/>
              <w:jc w:val="left"/>
            </w:pPr>
            <w:r>
              <w:t xml:space="preserve">Treatment</w:t>
            </w:r>
          </w:p>
        </w:tc>
        <w:tc>
          <w:tcPr/>
          <w:p>
            <w:pPr>
              <w:pStyle w:val="Compact"/>
              <w:jc w:val="left"/>
            </w:pPr>
            <w:r>
              <w:t xml:space="preserve">Water Level</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N</w:t>
            </w:r>
          </w:p>
        </w:tc>
        <w:tc>
          <w:tcPr/>
          <w:p>
            <w:pPr>
              <w:pStyle w:val="Compact"/>
              <w:jc w:val="right"/>
            </w:pPr>
            <w:r>
              <w:t xml:space="preserve">SE</w:t>
            </w:r>
          </w:p>
        </w:tc>
      </w:tr>
      <w:tr>
        <w:tc>
          <w:tcPr/>
          <w:p>
            <w:pPr>
              <w:pStyle w:val="Compact"/>
              <w:jc w:val="left"/>
            </w:pPr>
            <w:r>
              <w:t xml:space="preserve">A</w:t>
            </w:r>
          </w:p>
        </w:tc>
        <w:tc>
          <w:tcPr/>
          <w:p>
            <w:pPr>
              <w:pStyle w:val="Compact"/>
              <w:jc w:val="left"/>
            </w:pPr>
            <w:r>
              <w:t xml:space="preserve">Low</w:t>
            </w:r>
          </w:p>
        </w:tc>
        <w:tc>
          <w:tcPr/>
          <w:p>
            <w:pPr>
              <w:pStyle w:val="Compact"/>
              <w:jc w:val="right"/>
            </w:pPr>
            <w:r>
              <w:t xml:space="preserve">10.5</w:t>
            </w:r>
          </w:p>
        </w:tc>
        <w:tc>
          <w:tcPr/>
          <w:p>
            <w:pPr>
              <w:pStyle w:val="Compact"/>
              <w:jc w:val="right"/>
            </w:pPr>
            <w:r>
              <w:t xml:space="preserve">4.5</w:t>
            </w:r>
          </w:p>
        </w:tc>
        <w:tc>
          <w:tcPr/>
          <w:p>
            <w:pPr>
              <w:pStyle w:val="Compact"/>
              <w:jc w:val="right"/>
            </w:pPr>
            <w:r>
              <w:t xml:space="preserve">10</w:t>
            </w:r>
          </w:p>
        </w:tc>
        <w:tc>
          <w:tcPr/>
          <w:p>
            <w:pPr>
              <w:pStyle w:val="Compact"/>
              <w:jc w:val="right"/>
            </w:pPr>
            <w:r>
              <w:t xml:space="preserve">1.4</w:t>
            </w:r>
          </w:p>
        </w:tc>
      </w:tr>
      <w:tr>
        <w:tc>
          <w:tcPr/>
          <w:p>
            <w:pPr>
              <w:pStyle w:val="Compact"/>
              <w:jc w:val="left"/>
            </w:pPr>
            <w:r>
              <w:t xml:space="preserve">A</w:t>
            </w:r>
          </w:p>
        </w:tc>
        <w:tc>
          <w:tcPr/>
          <w:p>
            <w:pPr>
              <w:pStyle w:val="Compact"/>
              <w:jc w:val="left"/>
            </w:pPr>
            <w:r>
              <w:t xml:space="preserve">Medium</w:t>
            </w:r>
          </w:p>
        </w:tc>
        <w:tc>
          <w:tcPr/>
          <w:p>
            <w:pPr>
              <w:pStyle w:val="Compact"/>
              <w:jc w:val="right"/>
            </w:pPr>
            <w:r>
              <w:t xml:space="preserve">29.8</w:t>
            </w:r>
          </w:p>
        </w:tc>
        <w:tc>
          <w:tcPr/>
          <w:p>
            <w:pPr>
              <w:pStyle w:val="Compact"/>
              <w:jc w:val="right"/>
            </w:pPr>
            <w:r>
              <w:t xml:space="preserve">1.8</w:t>
            </w:r>
          </w:p>
        </w:tc>
        <w:tc>
          <w:tcPr/>
          <w:p>
            <w:pPr>
              <w:pStyle w:val="Compact"/>
              <w:jc w:val="right"/>
            </w:pPr>
            <w:r>
              <w:t xml:space="preserve">10</w:t>
            </w:r>
          </w:p>
        </w:tc>
        <w:tc>
          <w:tcPr/>
          <w:p>
            <w:pPr>
              <w:pStyle w:val="Compact"/>
              <w:jc w:val="right"/>
            </w:pPr>
            <w:r>
              <w:t xml:space="preserve">0.6</w:t>
            </w:r>
          </w:p>
        </w:tc>
      </w:tr>
      <w:tr>
        <w:tc>
          <w:tcPr/>
          <w:p>
            <w:pPr>
              <w:pStyle w:val="Compact"/>
              <w:jc w:val="left"/>
            </w:pPr>
            <w:r>
              <w:t xml:space="preserve">A</w:t>
            </w:r>
          </w:p>
        </w:tc>
        <w:tc>
          <w:tcPr/>
          <w:p>
            <w:pPr>
              <w:pStyle w:val="Compact"/>
              <w:jc w:val="left"/>
            </w:pPr>
            <w:r>
              <w:t xml:space="preserve">High</w:t>
            </w:r>
          </w:p>
        </w:tc>
        <w:tc>
          <w:tcPr/>
          <w:p>
            <w:pPr>
              <w:pStyle w:val="Compact"/>
              <w:jc w:val="right"/>
            </w:pPr>
            <w:r>
              <w:t xml:space="preserve">48.1</w:t>
            </w:r>
          </w:p>
        </w:tc>
        <w:tc>
          <w:tcPr/>
          <w:p>
            <w:pPr>
              <w:pStyle w:val="Compact"/>
              <w:jc w:val="right"/>
            </w:pPr>
            <w:r>
              <w:t xml:space="preserve">2.1</w:t>
            </w:r>
          </w:p>
        </w:tc>
        <w:tc>
          <w:tcPr/>
          <w:p>
            <w:pPr>
              <w:pStyle w:val="Compact"/>
              <w:jc w:val="right"/>
            </w:pPr>
            <w:r>
              <w:t xml:space="preserve">10</w:t>
            </w:r>
          </w:p>
        </w:tc>
        <w:tc>
          <w:tcPr/>
          <w:p>
            <w:pPr>
              <w:pStyle w:val="Compact"/>
              <w:jc w:val="right"/>
            </w:pPr>
            <w:r>
              <w:t xml:space="preserve">0.7</w:t>
            </w:r>
          </w:p>
        </w:tc>
      </w:tr>
      <w:tr>
        <w:tc>
          <w:tcPr/>
          <w:p>
            <w:pPr>
              <w:pStyle w:val="Compact"/>
              <w:jc w:val="left"/>
            </w:pPr>
            <w:r>
              <w:t xml:space="preserve">B</w:t>
            </w:r>
          </w:p>
        </w:tc>
        <w:tc>
          <w:tcPr/>
          <w:p>
            <w:pPr>
              <w:pStyle w:val="Compact"/>
              <w:jc w:val="left"/>
            </w:pPr>
            <w:r>
              <w:t xml:space="preserve">Low</w:t>
            </w:r>
          </w:p>
        </w:tc>
        <w:tc>
          <w:tcPr/>
          <w:p>
            <w:pPr>
              <w:pStyle w:val="Compact"/>
              <w:jc w:val="right"/>
            </w:pPr>
            <w:r>
              <w:t xml:space="preserve">21.0</w:t>
            </w:r>
          </w:p>
        </w:tc>
        <w:tc>
          <w:tcPr/>
          <w:p>
            <w:pPr>
              <w:pStyle w:val="Compact"/>
              <w:jc w:val="right"/>
            </w:pPr>
            <w:r>
              <w:t xml:space="preserve">2.9</w:t>
            </w:r>
          </w:p>
        </w:tc>
        <w:tc>
          <w:tcPr/>
          <w:p>
            <w:pPr>
              <w:pStyle w:val="Compact"/>
              <w:jc w:val="right"/>
            </w:pPr>
            <w:r>
              <w:t xml:space="preserve">10</w:t>
            </w:r>
          </w:p>
        </w:tc>
        <w:tc>
          <w:tcPr/>
          <w:p>
            <w:pPr>
              <w:pStyle w:val="Compact"/>
              <w:jc w:val="right"/>
            </w:pPr>
            <w:r>
              <w:t xml:space="preserve">0.9</w:t>
            </w:r>
          </w:p>
        </w:tc>
      </w:tr>
      <w:tr>
        <w:tc>
          <w:tcPr/>
          <w:p>
            <w:pPr>
              <w:pStyle w:val="Compact"/>
              <w:jc w:val="left"/>
            </w:pPr>
            <w:r>
              <w:t xml:space="preserve">B</w:t>
            </w:r>
          </w:p>
        </w:tc>
        <w:tc>
          <w:tcPr/>
          <w:p>
            <w:pPr>
              <w:pStyle w:val="Compact"/>
              <w:jc w:val="left"/>
            </w:pPr>
            <w:r>
              <w:t xml:space="preserve">Medium</w:t>
            </w:r>
          </w:p>
        </w:tc>
        <w:tc>
          <w:tcPr/>
          <w:p>
            <w:pPr>
              <w:pStyle w:val="Compact"/>
              <w:jc w:val="right"/>
            </w:pPr>
            <w:r>
              <w:t xml:space="preserve">32.3</w:t>
            </w:r>
          </w:p>
        </w:tc>
        <w:tc>
          <w:tcPr/>
          <w:p>
            <w:pPr>
              <w:pStyle w:val="Compact"/>
              <w:jc w:val="right"/>
            </w:pPr>
            <w:r>
              <w:t xml:space="preserve">4.3</w:t>
            </w:r>
          </w:p>
        </w:tc>
        <w:tc>
          <w:tcPr/>
          <w:p>
            <w:pPr>
              <w:pStyle w:val="Compact"/>
              <w:jc w:val="right"/>
            </w:pPr>
            <w:r>
              <w:t xml:space="preserve">10</w:t>
            </w:r>
          </w:p>
        </w:tc>
        <w:tc>
          <w:tcPr/>
          <w:p>
            <w:pPr>
              <w:pStyle w:val="Compact"/>
              <w:jc w:val="right"/>
            </w:pPr>
            <w:r>
              <w:t xml:space="preserve">1.4</w:t>
            </w:r>
          </w:p>
        </w:tc>
      </w:tr>
      <w:tr>
        <w:tc>
          <w:tcPr/>
          <w:p>
            <w:pPr>
              <w:pStyle w:val="Compact"/>
              <w:jc w:val="left"/>
            </w:pPr>
            <w:r>
              <w:t xml:space="preserve">B</w:t>
            </w:r>
          </w:p>
        </w:tc>
        <w:tc>
          <w:tcPr/>
          <w:p>
            <w:pPr>
              <w:pStyle w:val="Compact"/>
              <w:jc w:val="left"/>
            </w:pPr>
            <w:r>
              <w:t xml:space="preserve">High</w:t>
            </w:r>
          </w:p>
        </w:tc>
        <w:tc>
          <w:tcPr/>
          <w:p>
            <w:pPr>
              <w:pStyle w:val="Compact"/>
              <w:jc w:val="right"/>
            </w:pPr>
            <w:r>
              <w:t xml:space="preserve">50.3</w:t>
            </w:r>
          </w:p>
        </w:tc>
        <w:tc>
          <w:tcPr/>
          <w:p>
            <w:pPr>
              <w:pStyle w:val="Compact"/>
              <w:jc w:val="right"/>
            </w:pPr>
            <w:r>
              <w:t xml:space="preserve">2.1</w:t>
            </w:r>
          </w:p>
        </w:tc>
        <w:tc>
          <w:tcPr/>
          <w:p>
            <w:pPr>
              <w:pStyle w:val="Compact"/>
              <w:jc w:val="right"/>
            </w:pPr>
            <w:r>
              <w:t xml:space="preserve">10</w:t>
            </w:r>
          </w:p>
        </w:tc>
        <w:tc>
          <w:tcPr/>
          <w:p>
            <w:pPr>
              <w:pStyle w:val="Compact"/>
              <w:jc w:val="right"/>
            </w:pPr>
            <w:r>
              <w:t xml:space="preserve">0.7</w:t>
            </w:r>
          </w:p>
        </w:tc>
      </w:tr>
    </w:tbl>
    <w:p>
      <w:pPr>
        <w:pStyle w:val="CaptionedFigure"/>
      </w:pPr>
      <w:r>
        <w:drawing>
          <wp:inline>
            <wp:extent cx="5334000" cy="4267200"/>
            <wp:effectExtent b="0" l="0" r="0" t="0"/>
            <wp:docPr descr="Figure 1.1: Boxplots of fungal spore counts by water level and antifungal treatment." title="" id="22" name="Picture"/>
            <a:graphic>
              <a:graphicData uri="http://schemas.openxmlformats.org/drawingml/2006/picture">
                <pic:pic>
                  <pic:nvPicPr>
                    <pic:cNvPr descr="Assignment12Report_files/figure-docx/spores-plot-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24" w:name="fig:spores-plot"/>
      <w:bookmarkEnd w:id="24"/>
      <w:r>
        <w:t xml:space="preserve">Figure 1.1: Boxplots of fungal spore counts by water level and antifungal treatment.</w:t>
      </w:r>
    </w:p>
    <w:bookmarkEnd w:id="25"/>
    <w:bookmarkStart w:id="26" w:name="appendix"/>
    <w:p>
      <w:pPr>
        <w:pStyle w:val="Heading1"/>
      </w:pPr>
      <w:r>
        <w:rPr>
          <w:rStyle w:val="SectionNumber"/>
        </w:rPr>
        <w:t xml:space="preserve">2</w:t>
      </w:r>
      <w:r>
        <w:tab/>
      </w:r>
      <w:r>
        <w:t xml:space="preserve">Appendix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"RoseFungusData.csv"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fct_relevel</w:t>
      </w:r>
      <w:r>
        <w:rPr>
          <w:rStyle w:val="NormalTok"/>
        </w:rPr>
        <w:t xml:space="preserve">(Water,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Treatment =</w:t>
      </w:r>
      <w:r>
        <w:rPr>
          <w:rStyle w:val="NormalTok"/>
        </w:rPr>
        <w:t xml:space="preserve"> </w:t>
      </w:r>
      <w:r>
        <w:rPr>
          <w:rStyle w:val="FunctionTok"/>
        </w:rPr>
        <w:t xml:space="preserve">factor</w:t>
      </w:r>
      <w:r>
        <w:rPr>
          <w:rStyle w:val="NormalTok"/>
        </w:rPr>
        <w:t xml:space="preserve">(Treatment)</w:t>
      </w:r>
      <w:r>
        <w:br/>
      </w:r>
      <w:r>
        <w:rPr>
          <w:rStyle w:val="NormalTok"/>
        </w:rPr>
        <w:t xml:space="preserve">  )</w:t>
      </w:r>
      <w:r>
        <w:br/>
      </w:r>
      <w:r>
        <w:br/>
      </w:r>
      <w:r>
        <w:rPr>
          <w:rStyle w:val="NormalTok"/>
        </w:rPr>
        <w:t xml:space="preserve">summary_stats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(Treatment, Water)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(Spores,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(Spores,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SE,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1</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summary_stats,</w:t>
      </w:r>
      <w:r>
        <w:br/>
      </w:r>
      <w:r>
        <w:rPr>
          <w:rStyle w:val="NormalTok"/>
        </w:rPr>
        <w:t xml:space="preserve">  </w:t>
      </w:r>
      <w:r>
        <w:rPr>
          <w:rStyle w:val="AttributeTok"/>
        </w:rPr>
        <w:t xml:space="preserve">caption   =</w:t>
      </w:r>
      <w:r>
        <w:rPr>
          <w:rStyle w:val="NormalTok"/>
        </w:rPr>
        <w:t xml:space="preserve"> </w:t>
      </w:r>
      <w:r>
        <w:rPr>
          <w:rStyle w:val="StringTok"/>
        </w:rPr>
        <w:t xml:space="preserve">"Mean number of spores per plant …"</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"Water Level"</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"N"</w:t>
      </w:r>
      <w:r>
        <w:rPr>
          <w:rStyle w:val="NormalTok"/>
        </w:rPr>
        <w:t xml:space="preserve">, </w:t>
      </w:r>
      <w:r>
        <w:rPr>
          <w:rStyle w:val="StringTok"/>
        </w:rPr>
        <w:t xml:space="preserve">"SE"</w:t>
      </w:r>
      <w:r>
        <w:rPr>
          <w:rStyle w:val="NormalTok"/>
        </w:rPr>
        <w:t xml:space="preserve">)</w:t>
      </w:r>
      <w:r>
        <w:br/>
      </w:r>
      <w:r>
        <w:rPr>
          <w:rStyle w:val="NormalTok"/>
        </w:rPr>
        <w:t xml:space="preserve">)</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Water, </w:t>
      </w:r>
      <w:r>
        <w:rPr>
          <w:rStyle w:val="AttributeTok"/>
        </w:rPr>
        <w:t xml:space="preserve">y =</w:t>
      </w:r>
      <w:r>
        <w:rPr>
          <w:rStyle w:val="NormalTok"/>
        </w:rPr>
        <w:t xml:space="preserve"> Spores, </w:t>
      </w:r>
      <w:r>
        <w:rPr>
          <w:rStyle w:val="AttributeTok"/>
        </w:rPr>
        <w:t xml:space="preserve">fill =</w:t>
      </w:r>
      <w:r>
        <w:rPr>
          <w:rStyle w:val="NormalTok"/>
        </w:rPr>
        <w:t xml:space="preserve"> Treatment))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"Water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"Spore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"Treatment"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 555: Assignment 12</dc:title>
  <dc:creator>Matthew Stoebe</dc:creator>
  <cp:keywords/>
  <dcterms:created xsi:type="dcterms:W3CDTF">2025-04-17T23:59:33Z</dcterms:created>
  <dcterms:modified xsi:type="dcterms:W3CDTF">2025-04-17T23:59:33Z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