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8AEA" w14:textId="77777777" w:rsidR="0037691D" w:rsidRDefault="0037691D">
      <w:pPr>
        <w:pStyle w:val="BodyText"/>
        <w:ind w:left="0"/>
        <w:jc w:val="left"/>
        <w:rPr>
          <w:rFonts w:ascii="Times New Roman"/>
          <w:sz w:val="44"/>
        </w:rPr>
      </w:pPr>
    </w:p>
    <w:p w14:paraId="5A528AEB" w14:textId="77777777" w:rsidR="0037691D" w:rsidRDefault="0037691D">
      <w:pPr>
        <w:pStyle w:val="BodyText"/>
        <w:ind w:left="0"/>
        <w:jc w:val="left"/>
        <w:rPr>
          <w:rFonts w:ascii="Times New Roman"/>
          <w:sz w:val="44"/>
        </w:rPr>
      </w:pPr>
    </w:p>
    <w:p w14:paraId="5A528AEC" w14:textId="77777777" w:rsidR="0037691D" w:rsidRDefault="0037691D">
      <w:pPr>
        <w:pStyle w:val="BodyText"/>
        <w:ind w:left="0"/>
        <w:jc w:val="left"/>
        <w:rPr>
          <w:rFonts w:ascii="Times New Roman"/>
          <w:sz w:val="44"/>
        </w:rPr>
      </w:pPr>
    </w:p>
    <w:p w14:paraId="5A528AED" w14:textId="77777777" w:rsidR="0037691D" w:rsidRDefault="0037691D">
      <w:pPr>
        <w:pStyle w:val="BodyText"/>
        <w:ind w:left="0"/>
        <w:jc w:val="left"/>
        <w:rPr>
          <w:rFonts w:ascii="Times New Roman"/>
          <w:sz w:val="44"/>
        </w:rPr>
      </w:pPr>
    </w:p>
    <w:p w14:paraId="5A528AEE" w14:textId="77777777" w:rsidR="0037691D" w:rsidRDefault="0037691D">
      <w:pPr>
        <w:pStyle w:val="BodyText"/>
        <w:spacing w:before="215"/>
        <w:ind w:left="0"/>
        <w:jc w:val="left"/>
        <w:rPr>
          <w:rFonts w:ascii="Times New Roman"/>
          <w:sz w:val="44"/>
        </w:rPr>
      </w:pPr>
    </w:p>
    <w:p w14:paraId="5A528AEF" w14:textId="77777777" w:rsidR="0037691D" w:rsidRDefault="0068374F">
      <w:pPr>
        <w:jc w:val="center"/>
        <w:rPr>
          <w:b/>
          <w:sz w:val="44"/>
        </w:rPr>
      </w:pPr>
      <w:r>
        <w:rPr>
          <w:b/>
          <w:color w:val="2B3D4F"/>
          <w:spacing w:val="-2"/>
          <w:sz w:val="44"/>
        </w:rPr>
        <w:t>Futureproof</w:t>
      </w:r>
    </w:p>
    <w:p w14:paraId="5A528AF0" w14:textId="77777777" w:rsidR="0037691D" w:rsidRDefault="0037691D">
      <w:pPr>
        <w:pStyle w:val="BodyText"/>
        <w:spacing w:before="448"/>
        <w:ind w:left="0"/>
        <w:jc w:val="left"/>
        <w:rPr>
          <w:b/>
          <w:sz w:val="44"/>
        </w:rPr>
      </w:pPr>
    </w:p>
    <w:p w14:paraId="5A528AF1" w14:textId="77777777" w:rsidR="0037691D" w:rsidRDefault="0068374F">
      <w:pPr>
        <w:spacing w:line="369" w:lineRule="auto"/>
        <w:ind w:left="412" w:right="410"/>
        <w:jc w:val="center"/>
        <w:rPr>
          <w:b/>
          <w:sz w:val="44"/>
        </w:rPr>
      </w:pPr>
      <w:r>
        <w:rPr>
          <w:b/>
          <w:color w:val="2B3D4F"/>
          <w:sz w:val="44"/>
        </w:rPr>
        <w:t>Equity</w:t>
      </w:r>
      <w:r>
        <w:rPr>
          <w:b/>
          <w:color w:val="2B3D4F"/>
          <w:spacing w:val="-17"/>
          <w:sz w:val="44"/>
        </w:rPr>
        <w:t xml:space="preserve"> </w:t>
      </w:r>
      <w:r>
        <w:rPr>
          <w:b/>
          <w:color w:val="2B3D4F"/>
          <w:sz w:val="44"/>
        </w:rPr>
        <w:t>Preservation</w:t>
      </w:r>
      <w:r>
        <w:rPr>
          <w:b/>
          <w:color w:val="2B3D4F"/>
          <w:spacing w:val="-17"/>
          <w:sz w:val="44"/>
        </w:rPr>
        <w:t xml:space="preserve"> </w:t>
      </w:r>
      <w:r>
        <w:rPr>
          <w:b/>
          <w:color w:val="2B3D4F"/>
          <w:sz w:val="44"/>
        </w:rPr>
        <w:t>Mortgage® Modelling v14c (Optimised)</w:t>
      </w:r>
    </w:p>
    <w:p w14:paraId="5A528AF2" w14:textId="77777777" w:rsidR="0037691D" w:rsidRDefault="0068374F">
      <w:pPr>
        <w:spacing w:before="229"/>
        <w:jc w:val="center"/>
        <w:rPr>
          <w:b/>
          <w:sz w:val="44"/>
        </w:rPr>
      </w:pPr>
      <w:r>
        <w:rPr>
          <w:b/>
          <w:color w:val="2B3D4F"/>
          <w:sz w:val="44"/>
        </w:rPr>
        <w:t xml:space="preserve">Independent Actuarial </w:t>
      </w:r>
      <w:r>
        <w:rPr>
          <w:b/>
          <w:color w:val="2B3D4F"/>
          <w:spacing w:val="-2"/>
          <w:sz w:val="44"/>
        </w:rPr>
        <w:t>Review</w:t>
      </w:r>
    </w:p>
    <w:p w14:paraId="5A528AF3" w14:textId="77777777" w:rsidR="0037691D" w:rsidRDefault="0037691D">
      <w:pPr>
        <w:pStyle w:val="BodyText"/>
        <w:spacing w:before="97"/>
        <w:ind w:left="0"/>
        <w:jc w:val="left"/>
        <w:rPr>
          <w:b/>
          <w:sz w:val="44"/>
        </w:rPr>
      </w:pPr>
    </w:p>
    <w:p w14:paraId="5A528AF4" w14:textId="77777777" w:rsidR="0037691D" w:rsidRDefault="0068374F">
      <w:pPr>
        <w:spacing w:line="374" w:lineRule="auto"/>
        <w:ind w:left="427" w:right="410"/>
        <w:jc w:val="center"/>
        <w:rPr>
          <w:sz w:val="26"/>
        </w:rPr>
      </w:pPr>
      <w:r>
        <w:rPr>
          <w:color w:val="3497A8"/>
          <w:sz w:val="26"/>
        </w:rPr>
        <w:t>50,000-path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Monte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Carlo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·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GBM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with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Stochastic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Drift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+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Mean</w:t>
      </w:r>
      <w:r>
        <w:rPr>
          <w:color w:val="3497A8"/>
          <w:spacing w:val="-4"/>
          <w:sz w:val="26"/>
        </w:rPr>
        <w:t xml:space="preserve"> </w:t>
      </w:r>
      <w:r>
        <w:rPr>
          <w:color w:val="3497A8"/>
          <w:sz w:val="26"/>
        </w:rPr>
        <w:t>Reversion April 2026</w:t>
      </w:r>
    </w:p>
    <w:p w14:paraId="5A528AF5" w14:textId="77777777" w:rsidR="0037691D" w:rsidRDefault="0037691D">
      <w:pPr>
        <w:pStyle w:val="BodyText"/>
        <w:ind w:left="0"/>
        <w:jc w:val="left"/>
        <w:rPr>
          <w:sz w:val="26"/>
        </w:rPr>
      </w:pPr>
    </w:p>
    <w:p w14:paraId="5A528AF6" w14:textId="77777777" w:rsidR="0037691D" w:rsidRDefault="0037691D">
      <w:pPr>
        <w:pStyle w:val="BodyText"/>
        <w:spacing w:before="194"/>
        <w:ind w:left="0"/>
        <w:jc w:val="left"/>
        <w:rPr>
          <w:sz w:val="26"/>
        </w:rPr>
      </w:pPr>
    </w:p>
    <w:p w14:paraId="5A528AF7" w14:textId="77777777" w:rsidR="0037691D" w:rsidRDefault="0068374F">
      <w:pPr>
        <w:jc w:val="center"/>
        <w:rPr>
          <w:i/>
        </w:rPr>
      </w:pPr>
      <w:r>
        <w:rPr>
          <w:i/>
          <w:color w:val="BF382A"/>
        </w:rPr>
        <w:t xml:space="preserve">CONFIDENTIAL — For Internal Distribution </w:t>
      </w:r>
      <w:r>
        <w:rPr>
          <w:i/>
          <w:color w:val="BF382A"/>
          <w:spacing w:val="-4"/>
        </w:rPr>
        <w:t>Only</w:t>
      </w:r>
    </w:p>
    <w:p w14:paraId="5A528AF8" w14:textId="77777777" w:rsidR="0037691D" w:rsidRDefault="0037691D">
      <w:pPr>
        <w:jc w:val="center"/>
        <w:rPr>
          <w:i/>
        </w:rPr>
        <w:sectPr w:rsidR="0037691D">
          <w:footerReference w:type="default" r:id="rId8"/>
          <w:type w:val="continuous"/>
          <w:pgSz w:w="11910" w:h="16840"/>
          <w:pgMar w:top="1920" w:right="1275" w:bottom="820" w:left="1275" w:header="0" w:footer="625" w:gutter="0"/>
          <w:pgNumType w:start="1"/>
          <w:cols w:space="720"/>
        </w:sectPr>
      </w:pPr>
    </w:p>
    <w:p w14:paraId="5A528AF9" w14:textId="77777777" w:rsidR="0037691D" w:rsidRDefault="0068374F">
      <w:pPr>
        <w:pStyle w:val="Heading1"/>
      </w:pPr>
      <w:r>
        <w:rPr>
          <w:color w:val="2B3D4F"/>
        </w:rPr>
        <w:lastRenderedPageBreak/>
        <w:t xml:space="preserve">Executive </w:t>
      </w:r>
      <w:r>
        <w:rPr>
          <w:color w:val="2B3D4F"/>
          <w:spacing w:val="-2"/>
        </w:rPr>
        <w:t>Summary</w:t>
      </w:r>
    </w:p>
    <w:p w14:paraId="5A528AFA" w14:textId="77777777" w:rsidR="0037691D" w:rsidRDefault="0068374F">
      <w:pPr>
        <w:pStyle w:val="BodyText"/>
        <w:spacing w:before="242" w:line="292" w:lineRule="auto"/>
        <w:ind w:right="259"/>
      </w:pPr>
      <w:r>
        <w:rPr>
          <w:color w:val="2B3D4F"/>
        </w:rPr>
        <w:t xml:space="preserve">At the v14c Optimised parameter set, the Probability of Claim (PoC) against the Lenders Mortgage Insurance (LMI) layer is </w:t>
      </w:r>
      <w:r>
        <w:rPr>
          <w:b/>
          <w:color w:val="2B3D4F"/>
        </w:rPr>
        <w:t xml:space="preserve">2.75% at maturity </w:t>
      </w:r>
      <w:r>
        <w:rPr>
          <w:color w:val="2B3D4F"/>
        </w:rPr>
        <w:t xml:space="preserve">(standard error 0.07% on 50,000 simulated paths). The fair present-value premium on the LMI layer is </w:t>
      </w:r>
      <w:r>
        <w:rPr>
          <w:b/>
          <w:color w:val="2B3D4F"/>
        </w:rPr>
        <w:t xml:space="preserve">$3,242 </w:t>
      </w:r>
      <w:r>
        <w:rPr>
          <w:color w:val="2B3D4F"/>
        </w:rPr>
        <w:t>(</w:t>
      </w:r>
      <w:r>
        <w:rPr>
          <w:b/>
          <w:color w:val="2B3D4F"/>
        </w:rPr>
        <w:t xml:space="preserve">$4,863 </w:t>
      </w:r>
      <w:r>
        <w:rPr>
          <w:color w:val="2B3D4F"/>
        </w:rPr>
        <w:t>with 50% loading), equivalent to 0.41% of the peak loan balance of $1,200,000.</w:t>
      </w:r>
    </w:p>
    <w:p w14:paraId="5A528AFB" w14:textId="79920D96" w:rsidR="0037691D" w:rsidRPr="005767DF" w:rsidRDefault="0068374F">
      <w:pPr>
        <w:pStyle w:val="BodyText"/>
        <w:spacing w:before="168" w:line="288" w:lineRule="auto"/>
        <w:ind w:right="259"/>
        <w:rPr>
          <w:strike/>
        </w:rPr>
      </w:pPr>
      <w:r>
        <w:rPr>
          <w:color w:val="2B3D4F"/>
        </w:rPr>
        <w:t xml:space="preserve">The modelled equity return process is </w:t>
      </w:r>
      <w:r>
        <w:rPr>
          <w:b/>
          <w:color w:val="2B3D4F"/>
        </w:rPr>
        <w:t>GBM with Stochastic Drift + Mean Reversion</w:t>
      </w:r>
      <w:r>
        <w:rPr>
          <w:color w:val="2B3D4F"/>
        </w:rPr>
        <w:t>, parameterised by maximum likelihood estimation on total-return index data (Shevchenko, April 2026). The model is applied to the index portfolio held by the lender against each EPM contract. Downside is controlled by a ±40%/</w:t>
      </w:r>
      <w:r>
        <w:rPr>
          <w:rFonts w:ascii="Symbol" w:hAnsi="Symbol"/>
          <w:color w:val="2B3D4F"/>
        </w:rPr>
        <w:t></w:t>
      </w:r>
      <w:r>
        <w:rPr>
          <w:color w:val="2B3D4F"/>
        </w:rPr>
        <w:t>20% asymmetric index collar implemented as a continuous dynamic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hedging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strategy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(SpiderRock)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applied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reference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asset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portfolio,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limiting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a single-year drawdown on the reference-asset return to 20%</w:t>
      </w:r>
      <w:r w:rsidR="005767DF">
        <w:rPr>
          <w:color w:val="2B3D4F"/>
        </w:rPr>
        <w:t>.</w:t>
      </w:r>
      <w:r>
        <w:rPr>
          <w:color w:val="2B3D4F"/>
        </w:rPr>
        <w:t xml:space="preserve"> </w:t>
      </w:r>
      <w:r w:rsidRPr="005767DF">
        <w:rPr>
          <w:strike/>
          <w:color w:val="2B3D4F"/>
        </w:rPr>
        <w:t>— the tail risk that is also externally reinsured on a P20 basis.</w:t>
      </w:r>
    </w:p>
    <w:p w14:paraId="5A528AFC" w14:textId="3918C20F" w:rsidR="0037691D" w:rsidRDefault="0068374F">
      <w:pPr>
        <w:pStyle w:val="BodyText"/>
        <w:spacing w:before="180" w:line="292" w:lineRule="auto"/>
        <w:ind w:right="259"/>
      </w:pPr>
      <w:r>
        <w:rPr>
          <w:color w:val="2B3D4F"/>
        </w:rPr>
        <w:t>Simulation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was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conducted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at</w:t>
      </w:r>
      <w:r>
        <w:rPr>
          <w:color w:val="2B3D4F"/>
          <w:spacing w:val="-3"/>
        </w:rPr>
        <w:t xml:space="preserve"> </w:t>
      </w:r>
      <w:r>
        <w:rPr>
          <w:b/>
          <w:color w:val="2B3D4F"/>
        </w:rPr>
        <w:t>N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=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50,000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paths</w:t>
      </w:r>
      <w:r>
        <w:rPr>
          <w:color w:val="2B3D4F"/>
        </w:rPr>
        <w:t>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3"/>
        </w:rPr>
        <w:t xml:space="preserve"> </w:t>
      </w:r>
      <w:r w:rsidRPr="000360C9">
        <w:rPr>
          <w:strike/>
          <w:color w:val="2B3D4F"/>
        </w:rPr>
        <w:t>ten-fold</w:t>
      </w:r>
      <w:r>
        <w:rPr>
          <w:color w:val="2B3D4F"/>
          <w:spacing w:val="-3"/>
        </w:rPr>
        <w:t xml:space="preserve"> </w:t>
      </w:r>
      <w:r w:rsidR="003923D5">
        <w:rPr>
          <w:color w:val="EE0000"/>
        </w:rPr>
        <w:t xml:space="preserve">fifty-fold </w:t>
      </w:r>
      <w:commentRangeStart w:id="0"/>
      <w:r>
        <w:rPr>
          <w:color w:val="2B3D4F"/>
        </w:rPr>
        <w:t>increase</w:t>
      </w:r>
      <w:commentRangeEnd w:id="0"/>
      <w:r w:rsidR="003923D5">
        <w:rPr>
          <w:rStyle w:val="CommentReference"/>
          <w:color w:val="2B3D4F"/>
          <w:spacing w:val="-3"/>
          <w:sz w:val="20"/>
          <w:szCs w:val="20"/>
        </w:rPr>
        <w:commentReference w:id="0"/>
      </w:r>
      <w:r>
        <w:rPr>
          <w:color w:val="2B3D4F"/>
          <w:spacing w:val="-3"/>
        </w:rPr>
        <w:t xml:space="preserve"> </w:t>
      </w:r>
      <w:r>
        <w:rPr>
          <w:color w:val="2B3D4F"/>
        </w:rPr>
        <w:t>over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1,000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paths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used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 production spreadsheet. The standard error on a 2.75% PoC point estimate at N = 50,000 is 0.07% versus approximately 0.52% at N = 1,000, which is sufficient precision for internal decisioning and reinsurer disclosure.</w:t>
      </w:r>
    </w:p>
    <w:p w14:paraId="5A528AFD" w14:textId="77777777" w:rsidR="0037691D" w:rsidRDefault="0068374F">
      <w:pPr>
        <w:pStyle w:val="BodyText"/>
        <w:spacing w:before="168" w:line="292" w:lineRule="auto"/>
        <w:ind w:right="259"/>
      </w:pPr>
      <w:r>
        <w:rPr>
          <w:color w:val="2B3D4F"/>
        </w:rPr>
        <w:t xml:space="preserve">Conditional on the deficit event crystallising, the mean deficit is </w:t>
      </w:r>
      <w:r>
        <w:rPr>
          <w:b/>
          <w:color w:val="2B3D4F"/>
        </w:rPr>
        <w:t>$273,161</w:t>
      </w:r>
      <w:r>
        <w:rPr>
          <w:color w:val="2B3D4F"/>
        </w:rPr>
        <w:t>. The tail-risk layer (paths beyond the P20 of the deficit distribution) has PoC of 0.55% and a fair premium of $720.</w:t>
      </w:r>
    </w:p>
    <w:p w14:paraId="5A528AFE" w14:textId="77777777" w:rsidR="0037691D" w:rsidRDefault="0037691D">
      <w:pPr>
        <w:pStyle w:val="BodyText"/>
        <w:spacing w:before="57"/>
        <w:ind w:left="0"/>
        <w:jc w:val="left"/>
      </w:pPr>
    </w:p>
    <w:p w14:paraId="5A528AFF" w14:textId="77777777" w:rsidR="0037691D" w:rsidRDefault="0068374F">
      <w:pPr>
        <w:pStyle w:val="Heading2"/>
      </w:pPr>
      <w:r>
        <w:rPr>
          <w:color w:val="3497A8"/>
        </w:rPr>
        <w:t xml:space="preserve">Key </w:t>
      </w:r>
      <w:r>
        <w:rPr>
          <w:color w:val="3497A8"/>
          <w:spacing w:val="-2"/>
        </w:rPr>
        <w:t>Findings</w:t>
      </w:r>
    </w:p>
    <w:p w14:paraId="5A528B00" w14:textId="77777777" w:rsidR="0037691D" w:rsidRDefault="0068374F">
      <w:pPr>
        <w:pStyle w:val="ListParagraph"/>
        <w:numPr>
          <w:ilvl w:val="0"/>
          <w:numId w:val="1"/>
        </w:numPr>
        <w:tabs>
          <w:tab w:val="left" w:pos="562"/>
        </w:tabs>
        <w:spacing w:before="204" w:line="271" w:lineRule="auto"/>
        <w:ind w:right="259"/>
        <w:rPr>
          <w:sz w:val="20"/>
        </w:rPr>
      </w:pPr>
      <w:r>
        <w:rPr>
          <w:b/>
          <w:color w:val="2B3D4F"/>
          <w:sz w:val="20"/>
        </w:rPr>
        <w:t>PoC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at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maturity: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2.75%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(SE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0.07%)</w:t>
      </w:r>
      <w:r>
        <w:rPr>
          <w:color w:val="2B3D4F"/>
          <w:sz w:val="20"/>
        </w:rPr>
        <w:t>.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At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N=50,000,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95%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CI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on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PoC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is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approximately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 xml:space="preserve">[2.61%, </w:t>
      </w:r>
      <w:r>
        <w:rPr>
          <w:color w:val="2B3D4F"/>
          <w:spacing w:val="-2"/>
          <w:sz w:val="20"/>
        </w:rPr>
        <w:t>2.89%].</w:t>
      </w:r>
    </w:p>
    <w:p w14:paraId="5A528B01" w14:textId="77777777" w:rsidR="0037691D" w:rsidRDefault="0068374F">
      <w:pPr>
        <w:pStyle w:val="ListParagraph"/>
        <w:numPr>
          <w:ilvl w:val="0"/>
          <w:numId w:val="1"/>
        </w:numPr>
        <w:tabs>
          <w:tab w:val="left" w:pos="561"/>
        </w:tabs>
        <w:ind w:left="561" w:hanging="199"/>
        <w:rPr>
          <w:sz w:val="20"/>
        </w:rPr>
      </w:pPr>
      <w:r>
        <w:rPr>
          <w:b/>
          <w:color w:val="2B3D4F"/>
          <w:sz w:val="20"/>
        </w:rPr>
        <w:t xml:space="preserve">LMI fair premium (PV): $3,242 </w:t>
      </w:r>
      <w:r>
        <w:rPr>
          <w:color w:val="2B3D4F"/>
          <w:sz w:val="20"/>
        </w:rPr>
        <w:t xml:space="preserve">— $4,863 at 50% loading, 0.41% of peak </w:t>
      </w:r>
      <w:r>
        <w:rPr>
          <w:color w:val="2B3D4F"/>
          <w:spacing w:val="-2"/>
          <w:sz w:val="20"/>
        </w:rPr>
        <w:t>loan.</w:t>
      </w:r>
    </w:p>
    <w:p w14:paraId="5A528B02" w14:textId="77777777" w:rsidR="0037691D" w:rsidRDefault="0068374F">
      <w:pPr>
        <w:pStyle w:val="ListParagraph"/>
        <w:numPr>
          <w:ilvl w:val="0"/>
          <w:numId w:val="1"/>
        </w:numPr>
        <w:tabs>
          <w:tab w:val="left" w:pos="562"/>
        </w:tabs>
        <w:spacing w:before="144" w:line="271" w:lineRule="auto"/>
        <w:ind w:right="281"/>
        <w:rPr>
          <w:sz w:val="20"/>
        </w:rPr>
      </w:pPr>
      <w:r>
        <w:rPr>
          <w:b/>
          <w:color w:val="2B3D4F"/>
          <w:sz w:val="20"/>
        </w:rPr>
        <w:t>Upfront</w:t>
      </w:r>
      <w:r>
        <w:rPr>
          <w:b/>
          <w:color w:val="2B3D4F"/>
          <w:spacing w:val="-2"/>
          <w:sz w:val="20"/>
        </w:rPr>
        <w:t xml:space="preserve"> </w:t>
      </w:r>
      <w:r>
        <w:rPr>
          <w:b/>
          <w:color w:val="2B3D4F"/>
          <w:sz w:val="20"/>
        </w:rPr>
        <w:t>LMI</w:t>
      </w:r>
      <w:r>
        <w:rPr>
          <w:b/>
          <w:color w:val="2B3D4F"/>
          <w:spacing w:val="-2"/>
          <w:sz w:val="20"/>
        </w:rPr>
        <w:t xml:space="preserve"> </w:t>
      </w:r>
      <w:r>
        <w:rPr>
          <w:b/>
          <w:color w:val="2B3D4F"/>
          <w:sz w:val="20"/>
        </w:rPr>
        <w:t>charged:</w:t>
      </w:r>
      <w:r>
        <w:rPr>
          <w:b/>
          <w:color w:val="2B3D4F"/>
          <w:spacing w:val="-2"/>
          <w:sz w:val="20"/>
        </w:rPr>
        <w:t xml:space="preserve"> </w:t>
      </w:r>
      <w:r>
        <w:rPr>
          <w:b/>
          <w:color w:val="2B3D4F"/>
          <w:sz w:val="20"/>
        </w:rPr>
        <w:t>$9,600</w:t>
      </w:r>
      <w:r>
        <w:rPr>
          <w:b/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at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0.80%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of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peak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loan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—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gives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a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2.0×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coverage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ratio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over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fair loaded premium.</w:t>
      </w:r>
    </w:p>
    <w:p w14:paraId="5A528B03" w14:textId="77777777" w:rsidR="0037691D" w:rsidRDefault="0068374F">
      <w:pPr>
        <w:pStyle w:val="ListParagraph"/>
        <w:numPr>
          <w:ilvl w:val="0"/>
          <w:numId w:val="1"/>
        </w:numPr>
        <w:tabs>
          <w:tab w:val="left" w:pos="562"/>
        </w:tabs>
        <w:spacing w:line="271" w:lineRule="auto"/>
        <w:ind w:right="331"/>
        <w:rPr>
          <w:sz w:val="20"/>
        </w:rPr>
      </w:pPr>
      <w:r>
        <w:rPr>
          <w:b/>
          <w:color w:val="2B3D4F"/>
          <w:sz w:val="20"/>
        </w:rPr>
        <w:t>Median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surplus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at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maturity: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$1,357,825</w:t>
      </w:r>
      <w:r>
        <w:rPr>
          <w:b/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against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a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$1,500,000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home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value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—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typical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mortgage returns substantial end-of-term surplus.</w:t>
      </w:r>
    </w:p>
    <w:p w14:paraId="5A528B04" w14:textId="77777777" w:rsidR="0037691D" w:rsidRDefault="0068374F">
      <w:pPr>
        <w:pStyle w:val="ListParagraph"/>
        <w:numPr>
          <w:ilvl w:val="0"/>
          <w:numId w:val="1"/>
        </w:numPr>
        <w:tabs>
          <w:tab w:val="left" w:pos="562"/>
        </w:tabs>
        <w:spacing w:before="114" w:line="271" w:lineRule="auto"/>
        <w:ind w:right="331"/>
        <w:rPr>
          <w:sz w:val="20"/>
        </w:rPr>
      </w:pPr>
      <w:r>
        <w:rPr>
          <w:b/>
          <w:color w:val="2B3D4F"/>
          <w:sz w:val="20"/>
        </w:rPr>
        <w:t>Interim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PoD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peaks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early:</w:t>
      </w:r>
      <w:r>
        <w:rPr>
          <w:b/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year-1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PoD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of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51.98%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reflects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deduction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of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upfront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costs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and annuity payments from the opening mortgage offset account balance, and does not represent a crystallised loss. PoD declines monotonically from year 5 onward as compounding and amortisation take effect.</w:t>
      </w:r>
    </w:p>
    <w:p w14:paraId="5A528B05" w14:textId="77777777" w:rsidR="0037691D" w:rsidRDefault="0068374F">
      <w:pPr>
        <w:pStyle w:val="ListParagraph"/>
        <w:numPr>
          <w:ilvl w:val="0"/>
          <w:numId w:val="1"/>
        </w:numPr>
        <w:tabs>
          <w:tab w:val="left" w:pos="562"/>
        </w:tabs>
        <w:spacing w:before="100" w:line="261" w:lineRule="auto"/>
        <w:ind w:right="340"/>
        <w:rPr>
          <w:sz w:val="20"/>
        </w:rPr>
      </w:pPr>
      <w:r>
        <w:rPr>
          <w:b/>
          <w:color w:val="2B3D4F"/>
          <w:sz w:val="20"/>
        </w:rPr>
        <w:t>Mean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reversion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is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the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dominant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structural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defence</w:t>
      </w:r>
      <w:r>
        <w:rPr>
          <w:b/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—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removing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it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entirely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(</w:t>
      </w:r>
      <w:r>
        <w:rPr>
          <w:rFonts w:ascii="Symbol" w:hAnsi="Symbol"/>
          <w:color w:val="2B3D4F"/>
          <w:sz w:val="20"/>
        </w:rPr>
        <w:t></w:t>
      </w:r>
      <w:r>
        <w:rPr>
          <w:rFonts w:ascii="Times New Roman" w:hAnsi="Times New Roman"/>
          <w:color w:val="2B3D4F"/>
          <w:sz w:val="20"/>
        </w:rPr>
        <w:t xml:space="preserve"> </w:t>
      </w:r>
      <w:r>
        <w:rPr>
          <w:color w:val="2B3D4F"/>
          <w:sz w:val="20"/>
        </w:rPr>
        <w:t>=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0)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raises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 xml:space="preserve">PoC from 2.75% to 35.64% and the LMI loaded premium from $4,863 to $207,105. See </w:t>
      </w:r>
      <w:r>
        <w:rPr>
          <w:rFonts w:ascii="Symbol" w:hAnsi="Symbol"/>
          <w:color w:val="2B3D4F"/>
          <w:sz w:val="20"/>
        </w:rPr>
        <w:t></w:t>
      </w:r>
      <w:r>
        <w:rPr>
          <w:rFonts w:ascii="Times New Roman" w:hAnsi="Times New Roman"/>
          <w:color w:val="2B3D4F"/>
          <w:sz w:val="20"/>
        </w:rPr>
        <w:t xml:space="preserve"> </w:t>
      </w:r>
      <w:r>
        <w:rPr>
          <w:color w:val="2B3D4F"/>
          <w:sz w:val="20"/>
        </w:rPr>
        <w:t xml:space="preserve">sensitivity </w:t>
      </w:r>
      <w:r>
        <w:rPr>
          <w:color w:val="2B3D4F"/>
          <w:spacing w:val="-2"/>
          <w:sz w:val="20"/>
        </w:rPr>
        <w:t>below.</w:t>
      </w:r>
    </w:p>
    <w:p w14:paraId="5A528B06" w14:textId="77777777" w:rsidR="0037691D" w:rsidRDefault="0068374F">
      <w:pPr>
        <w:pStyle w:val="ListParagraph"/>
        <w:numPr>
          <w:ilvl w:val="0"/>
          <w:numId w:val="1"/>
        </w:numPr>
        <w:tabs>
          <w:tab w:val="left" w:pos="561"/>
        </w:tabs>
        <w:spacing w:before="122"/>
        <w:ind w:left="561" w:hanging="199"/>
        <w:rPr>
          <w:sz w:val="20"/>
        </w:rPr>
      </w:pPr>
      <w:r>
        <w:rPr>
          <w:b/>
          <w:color w:val="2B3D4F"/>
          <w:sz w:val="20"/>
        </w:rPr>
        <w:t xml:space="preserve">Tail-risk PoC: 0.55% </w:t>
      </w:r>
      <w:r>
        <w:rPr>
          <w:color w:val="2B3D4F"/>
          <w:sz w:val="20"/>
        </w:rPr>
        <w:t xml:space="preserve">— the residual layer beyond LMI is small and separately </w:t>
      </w:r>
      <w:r>
        <w:rPr>
          <w:color w:val="2B3D4F"/>
          <w:spacing w:val="-2"/>
          <w:sz w:val="20"/>
        </w:rPr>
        <w:t>priced.</w:t>
      </w:r>
    </w:p>
    <w:p w14:paraId="5A528B07" w14:textId="77777777" w:rsidR="0037691D" w:rsidRDefault="0068374F">
      <w:pPr>
        <w:pStyle w:val="BodyText"/>
        <w:spacing w:before="8"/>
        <w:ind w:left="0"/>
        <w:jc w:val="lef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528C5B" wp14:editId="5A528C5C">
                <wp:simplePos x="0" y="0"/>
                <wp:positionH relativeFrom="page">
                  <wp:posOffset>1027000</wp:posOffset>
                </wp:positionH>
                <wp:positionV relativeFrom="paragraph">
                  <wp:posOffset>150801</wp:posOffset>
                </wp:positionV>
                <wp:extent cx="5633085" cy="12954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3085" cy="1295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3497A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528C72" w14:textId="77777777" w:rsidR="0037691D" w:rsidRDefault="0068374F">
                            <w:pPr>
                              <w:spacing w:before="123" w:line="280" w:lineRule="auto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B3D4F"/>
                              </w:rPr>
                              <w:t>Conclusion.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Optimised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parameter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set,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product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priced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 xml:space="preserve">conservatively: the upfront LMI charge ($9,600) comfortably exceeds the fair loaded premium ($4,863). The actuarial review confirms the model is structurally sound and the reinsurance structure is commercially viable. Parameter uncertainty on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</w:rPr>
                              <w:t></w:t>
                            </w:r>
                            <w:r>
                              <w:rPr>
                                <w:rFonts w:ascii="Times New Roman" w:hAnsi="Times New Roman"/>
                                <w:color w:val="2B3D4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 xml:space="preserve">and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</w:rPr>
                              <w:t></w:t>
                            </w:r>
                            <w:r>
                              <w:rPr>
                                <w:rFonts w:ascii="Times New Roman" w:hAnsi="Times New Roman"/>
                                <w:color w:val="2B3D4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remains the dominant source of headline-PoC range, and is quantified in the sensitivity sections that follow.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528C5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80.85pt;margin-top:11.85pt;width:443.55pt;height:10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" filled="f" strokecolor="#3497a8" strokeweight="1pt">
                <v:path arrowok="t"/>
                <v:textbox inset="0,0,0,0">
                  <w:txbxContent>
                    <w:p w14:paraId="5A528C72" w14:textId="77777777" w:rsidR="0037691D" w:rsidRDefault="0068374F">
                      <w:pPr>
                        <w:spacing w:before="123" w:line="280" w:lineRule="auto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color w:val="2B3D4F"/>
                        </w:rPr>
                        <w:t>Conclusion.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At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the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Optimised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parameter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set,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the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product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is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priced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 xml:space="preserve">conservatively: the upfront LMI charge ($9,600) comfortably exceeds the fair loaded premium ($4,863). The actuarial review confirms the model is structurally sound and the reinsurance structure is commercially viable. Parameter uncertainty on </w:t>
                      </w:r>
                      <w:r>
                        <w:rPr>
                          <w:rFonts w:ascii="Symbol" w:hAnsi="Symbol"/>
                          <w:color w:val="2B3D4F"/>
                        </w:rPr>
                        <w:t></w:t>
                      </w:r>
                      <w:r>
                        <w:rPr>
                          <w:rFonts w:ascii="Times New Roman" w:hAnsi="Times New Roman"/>
                          <w:color w:val="2B3D4F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 xml:space="preserve">and </w:t>
                      </w:r>
                      <w:r>
                        <w:rPr>
                          <w:rFonts w:ascii="Symbol" w:hAnsi="Symbol"/>
                          <w:color w:val="2B3D4F"/>
                        </w:rPr>
                        <w:t></w:t>
                      </w:r>
                      <w:r>
                        <w:rPr>
                          <w:rFonts w:ascii="Times New Roman" w:hAnsi="Times New Roman"/>
                          <w:color w:val="2B3D4F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remains the dominant source of headline-PoC range, and is quantified in the sensitivity sections that follow.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528B08" w14:textId="77777777" w:rsidR="0037691D" w:rsidRDefault="0037691D">
      <w:pPr>
        <w:pStyle w:val="BodyText"/>
        <w:jc w:val="left"/>
        <w:rPr>
          <w:sz w:val="17"/>
        </w:rPr>
        <w:sectPr w:rsidR="0037691D">
          <w:pgSz w:w="11910" w:h="16840"/>
          <w:pgMar w:top="1480" w:right="1275" w:bottom="820" w:left="1275" w:header="0" w:footer="625" w:gutter="0"/>
          <w:cols w:space="720"/>
        </w:sectPr>
      </w:pPr>
    </w:p>
    <w:p w14:paraId="5A528B09" w14:textId="77777777" w:rsidR="0037691D" w:rsidRDefault="0068374F">
      <w:pPr>
        <w:pStyle w:val="Heading1"/>
      </w:pPr>
      <w:r>
        <w:rPr>
          <w:color w:val="2B3D4F"/>
        </w:rPr>
        <w:lastRenderedPageBreak/>
        <w:t xml:space="preserve">Model Overview — v14c Optimised </w:t>
      </w:r>
      <w:r>
        <w:rPr>
          <w:color w:val="2B3D4F"/>
          <w:spacing w:val="-2"/>
        </w:rPr>
        <w:t>Parameters</w:t>
      </w:r>
    </w:p>
    <w:p w14:paraId="5A528B0A" w14:textId="77777777" w:rsidR="0037691D" w:rsidRDefault="0068374F">
      <w:pPr>
        <w:pStyle w:val="BodyText"/>
        <w:spacing w:before="242" w:line="292" w:lineRule="auto"/>
        <w:ind w:right="259"/>
      </w:pPr>
      <w:r>
        <w:rPr>
          <w:color w:val="2B3D4F"/>
        </w:rPr>
        <w:t>The table below summarises the complete v14c Optimised parameter set. Values reflect the Optimised spreadsheet supplied April 2026, with parameter changes from v14c-003 highlighted in the Notes column.</w:t>
      </w:r>
    </w:p>
    <w:p w14:paraId="5A528B0B" w14:textId="77777777" w:rsidR="0037691D" w:rsidRDefault="0037691D">
      <w:pPr>
        <w:pStyle w:val="BodyText"/>
        <w:spacing w:before="2"/>
        <w:ind w:left="0"/>
        <w:jc w:val="left"/>
        <w:rPr>
          <w:sz w:val="13"/>
        </w:rPr>
      </w:pPr>
    </w:p>
    <w:tbl>
      <w:tblPr>
        <w:tblW w:w="0" w:type="auto"/>
        <w:tblInd w:w="147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118"/>
        <w:gridCol w:w="3118"/>
      </w:tblGrid>
      <w:tr w:rsidR="0037691D" w14:paraId="5A528B0F" w14:textId="77777777">
        <w:trPr>
          <w:trHeight w:val="370"/>
        </w:trPr>
        <w:tc>
          <w:tcPr>
            <w:tcW w:w="2835" w:type="dxa"/>
            <w:shd w:val="clear" w:color="auto" w:fill="2B3D4F"/>
          </w:tcPr>
          <w:p w14:paraId="5A528B0C" w14:textId="77777777" w:rsidR="0037691D" w:rsidRDefault="0068374F"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3118" w:type="dxa"/>
            <w:shd w:val="clear" w:color="auto" w:fill="2B3D4F"/>
          </w:tcPr>
          <w:p w14:paraId="5A528B0D" w14:textId="77777777" w:rsidR="0037691D" w:rsidRDefault="0068374F">
            <w:pPr>
              <w:pStyle w:val="TableParagraph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Value</w:t>
            </w:r>
          </w:p>
        </w:tc>
        <w:tc>
          <w:tcPr>
            <w:tcW w:w="3118" w:type="dxa"/>
            <w:shd w:val="clear" w:color="auto" w:fill="2B3D4F"/>
          </w:tcPr>
          <w:p w14:paraId="5A528B0E" w14:textId="77777777" w:rsidR="0037691D" w:rsidRDefault="0068374F">
            <w:pPr>
              <w:pStyle w:val="TableParagraph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Notes</w:t>
            </w:r>
          </w:p>
        </w:tc>
      </w:tr>
      <w:tr w:rsidR="0037691D" w14:paraId="5A528B13" w14:textId="77777777">
        <w:trPr>
          <w:trHeight w:val="370"/>
        </w:trPr>
        <w:tc>
          <w:tcPr>
            <w:tcW w:w="2835" w:type="dxa"/>
          </w:tcPr>
          <w:p w14:paraId="5A528B10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Home </w:t>
            </w:r>
            <w:r>
              <w:rPr>
                <w:color w:val="2B3D4F"/>
                <w:spacing w:val="-2"/>
                <w:sz w:val="18"/>
              </w:rPr>
              <w:t>Value</w:t>
            </w:r>
          </w:p>
        </w:tc>
        <w:tc>
          <w:tcPr>
            <w:tcW w:w="3118" w:type="dxa"/>
          </w:tcPr>
          <w:p w14:paraId="5A528B11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$1,500,000</w:t>
            </w:r>
          </w:p>
        </w:tc>
        <w:tc>
          <w:tcPr>
            <w:tcW w:w="3118" w:type="dxa"/>
          </w:tcPr>
          <w:p w14:paraId="5A528B12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>Was $2,000,000 in v14c-</w:t>
            </w:r>
            <w:r>
              <w:rPr>
                <w:color w:val="2B3D4F"/>
                <w:spacing w:val="-5"/>
                <w:sz w:val="18"/>
              </w:rPr>
              <w:t>003</w:t>
            </w:r>
          </w:p>
        </w:tc>
      </w:tr>
      <w:tr w:rsidR="0037691D" w14:paraId="5A528B17" w14:textId="77777777">
        <w:trPr>
          <w:trHeight w:val="370"/>
        </w:trPr>
        <w:tc>
          <w:tcPr>
            <w:tcW w:w="2835" w:type="dxa"/>
            <w:shd w:val="clear" w:color="auto" w:fill="F7F9F9"/>
          </w:tcPr>
          <w:p w14:paraId="5A528B14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LVR</w:t>
            </w:r>
          </w:p>
        </w:tc>
        <w:tc>
          <w:tcPr>
            <w:tcW w:w="3118" w:type="dxa"/>
            <w:shd w:val="clear" w:color="auto" w:fill="F7F9F9"/>
          </w:tcPr>
          <w:p w14:paraId="5A528B15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80%</w:t>
            </w:r>
          </w:p>
        </w:tc>
        <w:tc>
          <w:tcPr>
            <w:tcW w:w="3118" w:type="dxa"/>
            <w:shd w:val="clear" w:color="auto" w:fill="F7F9F9"/>
          </w:tcPr>
          <w:p w14:paraId="5A528B16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Unchanged</w:t>
            </w:r>
          </w:p>
        </w:tc>
      </w:tr>
      <w:tr w:rsidR="0037691D" w14:paraId="5A528B1B" w14:textId="77777777">
        <w:trPr>
          <w:trHeight w:val="370"/>
        </w:trPr>
        <w:tc>
          <w:tcPr>
            <w:tcW w:w="2835" w:type="dxa"/>
          </w:tcPr>
          <w:p w14:paraId="5A528B18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Max </w:t>
            </w:r>
            <w:r>
              <w:rPr>
                <w:color w:val="2B3D4F"/>
                <w:spacing w:val="-4"/>
                <w:sz w:val="18"/>
              </w:rPr>
              <w:t>Loan</w:t>
            </w:r>
          </w:p>
        </w:tc>
        <w:tc>
          <w:tcPr>
            <w:tcW w:w="3118" w:type="dxa"/>
          </w:tcPr>
          <w:p w14:paraId="5A528B19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$1,200,000</w:t>
            </w:r>
          </w:p>
        </w:tc>
        <w:tc>
          <w:tcPr>
            <w:tcW w:w="3118" w:type="dxa"/>
          </w:tcPr>
          <w:p w14:paraId="5A528B1A" w14:textId="77777777" w:rsidR="0037691D" w:rsidRDefault="0037691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7691D" w14:paraId="5A528B1F" w14:textId="77777777">
        <w:trPr>
          <w:trHeight w:val="370"/>
        </w:trPr>
        <w:tc>
          <w:tcPr>
            <w:tcW w:w="2835" w:type="dxa"/>
            <w:shd w:val="clear" w:color="auto" w:fill="F7F9F9"/>
          </w:tcPr>
          <w:p w14:paraId="5A528B1C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Annuity</w:t>
            </w:r>
          </w:p>
        </w:tc>
        <w:tc>
          <w:tcPr>
            <w:tcW w:w="3118" w:type="dxa"/>
            <w:shd w:val="clear" w:color="auto" w:fill="F7F9F9"/>
          </w:tcPr>
          <w:p w14:paraId="5A528B1D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$26,250/yr × </w:t>
            </w:r>
            <w:r>
              <w:rPr>
                <w:color w:val="2B3D4F"/>
                <w:spacing w:val="-4"/>
                <w:sz w:val="18"/>
              </w:rPr>
              <w:t>10yr</w:t>
            </w:r>
          </w:p>
        </w:tc>
        <w:tc>
          <w:tcPr>
            <w:tcW w:w="3118" w:type="dxa"/>
            <w:shd w:val="clear" w:color="auto" w:fill="F7F9F9"/>
          </w:tcPr>
          <w:p w14:paraId="5A528B1E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>Was $30,000/yr in v14c-</w:t>
            </w:r>
            <w:r>
              <w:rPr>
                <w:color w:val="2B3D4F"/>
                <w:spacing w:val="-5"/>
                <w:sz w:val="18"/>
              </w:rPr>
              <w:t>003</w:t>
            </w:r>
          </w:p>
        </w:tc>
      </w:tr>
      <w:tr w:rsidR="0037691D" w14:paraId="5A528B23" w14:textId="77777777">
        <w:trPr>
          <w:trHeight w:val="370"/>
        </w:trPr>
        <w:tc>
          <w:tcPr>
            <w:tcW w:w="2835" w:type="dxa"/>
          </w:tcPr>
          <w:p w14:paraId="5A528B20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Initial </w:t>
            </w:r>
            <w:r>
              <w:rPr>
                <w:color w:val="2B3D4F"/>
                <w:spacing w:val="-4"/>
                <w:sz w:val="18"/>
              </w:rPr>
              <w:t>Loan</w:t>
            </w:r>
          </w:p>
        </w:tc>
        <w:tc>
          <w:tcPr>
            <w:tcW w:w="3118" w:type="dxa"/>
          </w:tcPr>
          <w:p w14:paraId="5A528B21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$937,500</w:t>
            </w:r>
          </w:p>
        </w:tc>
        <w:tc>
          <w:tcPr>
            <w:tcW w:w="3118" w:type="dxa"/>
          </w:tcPr>
          <w:p w14:paraId="5A528B22" w14:textId="77777777" w:rsidR="0037691D" w:rsidRDefault="0068374F">
            <w:pPr>
              <w:pStyle w:val="TableParagraph"/>
              <w:spacing w:before="74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Max Loan </w:t>
            </w:r>
            <w:r>
              <w:rPr>
                <w:rFonts w:ascii="Symbol" w:hAnsi="Symbol"/>
                <w:color w:val="2B3D4F"/>
                <w:sz w:val="18"/>
              </w:rPr>
              <w:t></w:t>
            </w:r>
            <w:r>
              <w:rPr>
                <w:rFonts w:ascii="Times New Roman" w:hAnsi="Times New Roman"/>
                <w:color w:val="2B3D4F"/>
                <w:spacing w:val="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(Annuity × </w:t>
            </w:r>
            <w:r>
              <w:rPr>
                <w:color w:val="2B3D4F"/>
                <w:spacing w:val="-5"/>
                <w:sz w:val="18"/>
              </w:rPr>
              <w:t>10)</w:t>
            </w:r>
          </w:p>
        </w:tc>
      </w:tr>
      <w:tr w:rsidR="0037691D" w14:paraId="5A528B27" w14:textId="77777777">
        <w:trPr>
          <w:trHeight w:val="590"/>
        </w:trPr>
        <w:tc>
          <w:tcPr>
            <w:tcW w:w="2835" w:type="dxa"/>
            <w:shd w:val="clear" w:color="auto" w:fill="F7F9F9"/>
          </w:tcPr>
          <w:p w14:paraId="5A528B24" w14:textId="77777777" w:rsidR="0037691D" w:rsidRDefault="0068374F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Equity </w:t>
            </w:r>
            <w:r>
              <w:rPr>
                <w:color w:val="2B3D4F"/>
                <w:spacing w:val="-2"/>
                <w:sz w:val="18"/>
              </w:rPr>
              <w:t>Model</w:t>
            </w:r>
          </w:p>
        </w:tc>
        <w:tc>
          <w:tcPr>
            <w:tcW w:w="3118" w:type="dxa"/>
            <w:shd w:val="clear" w:color="auto" w:fill="F7F9F9"/>
          </w:tcPr>
          <w:p w14:paraId="5A528B25" w14:textId="77777777" w:rsidR="0037691D" w:rsidRDefault="0068374F">
            <w:pPr>
              <w:pStyle w:val="TableParagraph"/>
              <w:spacing w:line="254" w:lineRule="auto"/>
              <w:ind w:left="1153" w:hanging="943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GBM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with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Stochastic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Drift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+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Mean </w:t>
            </w:r>
            <w:r>
              <w:rPr>
                <w:color w:val="2B3D4F"/>
                <w:spacing w:val="-2"/>
                <w:sz w:val="18"/>
              </w:rPr>
              <w:t>Reversion</w:t>
            </w:r>
          </w:p>
        </w:tc>
        <w:tc>
          <w:tcPr>
            <w:tcW w:w="3118" w:type="dxa"/>
            <w:shd w:val="clear" w:color="auto" w:fill="F7F9F9"/>
          </w:tcPr>
          <w:p w14:paraId="5A528B26" w14:textId="77777777" w:rsidR="0037691D" w:rsidRDefault="0068374F">
            <w:pPr>
              <w:pStyle w:val="TableParagraph"/>
              <w:spacing w:before="196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Shevchenko, April 2026 </w:t>
            </w:r>
            <w:r>
              <w:rPr>
                <w:color w:val="2B3D4F"/>
                <w:spacing w:val="-2"/>
                <w:sz w:val="18"/>
              </w:rPr>
              <w:t>(MLE)</w:t>
            </w:r>
          </w:p>
        </w:tc>
      </w:tr>
      <w:tr w:rsidR="0037691D" w14:paraId="5A528B2B" w14:textId="77777777">
        <w:trPr>
          <w:trHeight w:val="370"/>
        </w:trPr>
        <w:tc>
          <w:tcPr>
            <w:tcW w:w="2835" w:type="dxa"/>
          </w:tcPr>
          <w:p w14:paraId="5A528B28" w14:textId="77777777" w:rsidR="0037691D" w:rsidRDefault="0068374F">
            <w:pPr>
              <w:pStyle w:val="TableParagraph"/>
              <w:spacing w:before="74"/>
              <w:jc w:val="left"/>
              <w:rPr>
                <w:rFonts w:ascii="Symbol" w:hAnsi="Symbol"/>
                <w:sz w:val="18"/>
              </w:rPr>
            </w:pPr>
            <w:r>
              <w:rPr>
                <w:color w:val="2B3D4F"/>
                <w:sz w:val="18"/>
              </w:rPr>
              <w:t xml:space="preserve">Expected Return </w:t>
            </w:r>
            <w:r>
              <w:rPr>
                <w:rFonts w:ascii="Symbol" w:hAnsi="Symbol"/>
                <w:color w:val="2B3D4F"/>
                <w:spacing w:val="-10"/>
                <w:sz w:val="18"/>
              </w:rPr>
              <w:t></w:t>
            </w:r>
          </w:p>
        </w:tc>
        <w:tc>
          <w:tcPr>
            <w:tcW w:w="3118" w:type="dxa"/>
          </w:tcPr>
          <w:p w14:paraId="5A528B29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9.2%</w:t>
            </w:r>
          </w:p>
        </w:tc>
        <w:tc>
          <w:tcPr>
            <w:tcW w:w="3118" w:type="dxa"/>
          </w:tcPr>
          <w:p w14:paraId="5A528B2A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Unchanged</w:t>
            </w:r>
          </w:p>
        </w:tc>
      </w:tr>
      <w:tr w:rsidR="0037691D" w14:paraId="5A528B2F" w14:textId="77777777">
        <w:trPr>
          <w:trHeight w:val="370"/>
        </w:trPr>
        <w:tc>
          <w:tcPr>
            <w:tcW w:w="2835" w:type="dxa"/>
            <w:shd w:val="clear" w:color="auto" w:fill="F7F9F9"/>
          </w:tcPr>
          <w:p w14:paraId="5A528B2C" w14:textId="77777777" w:rsidR="0037691D" w:rsidRDefault="0068374F">
            <w:pPr>
              <w:pStyle w:val="TableParagraph"/>
              <w:spacing w:before="74"/>
              <w:jc w:val="left"/>
              <w:rPr>
                <w:rFonts w:ascii="Symbol" w:hAnsi="Symbol"/>
                <w:sz w:val="18"/>
              </w:rPr>
            </w:pPr>
            <w:r>
              <w:rPr>
                <w:color w:val="2B3D4F"/>
                <w:sz w:val="18"/>
              </w:rPr>
              <w:t xml:space="preserve">Equity Volatility </w:t>
            </w:r>
            <w:r>
              <w:rPr>
                <w:rFonts w:ascii="Symbol" w:hAnsi="Symbol"/>
                <w:color w:val="2B3D4F"/>
                <w:spacing w:val="-10"/>
                <w:sz w:val="18"/>
              </w:rPr>
              <w:t></w:t>
            </w:r>
          </w:p>
        </w:tc>
        <w:tc>
          <w:tcPr>
            <w:tcW w:w="3118" w:type="dxa"/>
            <w:shd w:val="clear" w:color="auto" w:fill="F7F9F9"/>
          </w:tcPr>
          <w:p w14:paraId="5A528B2D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16.6%</w:t>
            </w:r>
          </w:p>
        </w:tc>
        <w:tc>
          <w:tcPr>
            <w:tcW w:w="3118" w:type="dxa"/>
            <w:shd w:val="clear" w:color="auto" w:fill="F7F9F9"/>
          </w:tcPr>
          <w:p w14:paraId="5A528B2E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Unchanged</w:t>
            </w:r>
          </w:p>
        </w:tc>
      </w:tr>
      <w:tr w:rsidR="0037691D" w14:paraId="5A528B33" w14:textId="77777777">
        <w:trPr>
          <w:trHeight w:val="370"/>
        </w:trPr>
        <w:tc>
          <w:tcPr>
            <w:tcW w:w="2835" w:type="dxa"/>
          </w:tcPr>
          <w:p w14:paraId="5A528B30" w14:textId="77777777" w:rsidR="0037691D" w:rsidRDefault="0068374F">
            <w:pPr>
              <w:pStyle w:val="TableParagraph"/>
              <w:spacing w:before="74"/>
              <w:jc w:val="left"/>
              <w:rPr>
                <w:rFonts w:ascii="Symbol" w:hAnsi="Symbol"/>
                <w:sz w:val="18"/>
              </w:rPr>
            </w:pPr>
            <w:r>
              <w:rPr>
                <w:color w:val="2B3D4F"/>
                <w:sz w:val="18"/>
              </w:rPr>
              <w:t xml:space="preserve">Mean-Reversion Speed </w:t>
            </w:r>
            <w:r>
              <w:rPr>
                <w:rFonts w:ascii="Symbol" w:hAnsi="Symbol"/>
                <w:color w:val="2B3D4F"/>
                <w:spacing w:val="-10"/>
                <w:sz w:val="18"/>
              </w:rPr>
              <w:t></w:t>
            </w:r>
          </w:p>
        </w:tc>
        <w:tc>
          <w:tcPr>
            <w:tcW w:w="3118" w:type="dxa"/>
          </w:tcPr>
          <w:p w14:paraId="5A528B31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0.163</w:t>
            </w:r>
          </w:p>
        </w:tc>
        <w:tc>
          <w:tcPr>
            <w:tcW w:w="3118" w:type="dxa"/>
          </w:tcPr>
          <w:p w14:paraId="5A528B32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Unchanged</w:t>
            </w:r>
          </w:p>
        </w:tc>
      </w:tr>
      <w:tr w:rsidR="0037691D" w14:paraId="5A528B37" w14:textId="77777777">
        <w:trPr>
          <w:trHeight w:val="590"/>
        </w:trPr>
        <w:tc>
          <w:tcPr>
            <w:tcW w:w="2835" w:type="dxa"/>
            <w:shd w:val="clear" w:color="auto" w:fill="F7F9F9"/>
          </w:tcPr>
          <w:p w14:paraId="5A528B34" w14:textId="77777777" w:rsidR="0037691D" w:rsidRDefault="0068374F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Collar Cap / </w:t>
            </w:r>
            <w:r>
              <w:rPr>
                <w:color w:val="2B3D4F"/>
                <w:spacing w:val="-2"/>
                <w:sz w:val="18"/>
              </w:rPr>
              <w:t>Floor</w:t>
            </w:r>
          </w:p>
        </w:tc>
        <w:tc>
          <w:tcPr>
            <w:tcW w:w="3118" w:type="dxa"/>
            <w:shd w:val="clear" w:color="auto" w:fill="F7F9F9"/>
          </w:tcPr>
          <w:p w14:paraId="5A528B35" w14:textId="77777777" w:rsidR="0037691D" w:rsidRDefault="0068374F">
            <w:pPr>
              <w:pStyle w:val="TableParagraph"/>
              <w:spacing w:before="196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140% / </w:t>
            </w:r>
            <w:r>
              <w:rPr>
                <w:color w:val="2B3D4F"/>
                <w:spacing w:val="-5"/>
                <w:sz w:val="18"/>
              </w:rPr>
              <w:t>80%</w:t>
            </w:r>
          </w:p>
        </w:tc>
        <w:tc>
          <w:tcPr>
            <w:tcW w:w="3118" w:type="dxa"/>
            <w:shd w:val="clear" w:color="auto" w:fill="F7F9F9"/>
          </w:tcPr>
          <w:p w14:paraId="5A528B36" w14:textId="77777777" w:rsidR="0037691D" w:rsidRDefault="0068374F">
            <w:pPr>
              <w:pStyle w:val="TableParagraph"/>
              <w:spacing w:before="74" w:line="252" w:lineRule="auto"/>
              <w:ind w:left="1343" w:hanging="1008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Asymmetric</w:t>
            </w:r>
            <w:r>
              <w:rPr>
                <w:color w:val="2B3D4F"/>
                <w:spacing w:val="-1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+40%/</w:t>
            </w:r>
            <w:r>
              <w:rPr>
                <w:rFonts w:ascii="Symbol" w:hAnsi="Symbol"/>
                <w:color w:val="2B3D4F"/>
                <w:sz w:val="18"/>
              </w:rPr>
              <w:t></w:t>
            </w:r>
            <w:r>
              <w:rPr>
                <w:color w:val="2B3D4F"/>
                <w:sz w:val="18"/>
              </w:rPr>
              <w:t>20%</w:t>
            </w:r>
            <w:r>
              <w:rPr>
                <w:color w:val="2B3D4F"/>
                <w:spacing w:val="-12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index </w:t>
            </w:r>
            <w:r>
              <w:rPr>
                <w:color w:val="2B3D4F"/>
                <w:spacing w:val="-2"/>
                <w:sz w:val="18"/>
              </w:rPr>
              <w:t>collar</w:t>
            </w:r>
          </w:p>
        </w:tc>
      </w:tr>
      <w:tr w:rsidR="0037691D" w14:paraId="5A528B3B" w14:textId="77777777">
        <w:trPr>
          <w:trHeight w:val="590"/>
        </w:trPr>
        <w:tc>
          <w:tcPr>
            <w:tcW w:w="2835" w:type="dxa"/>
          </w:tcPr>
          <w:p w14:paraId="5A528B38" w14:textId="77777777" w:rsidR="0037691D" w:rsidRDefault="0068374F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Hedging </w:t>
            </w:r>
            <w:r>
              <w:rPr>
                <w:color w:val="2B3D4F"/>
                <w:spacing w:val="-2"/>
                <w:sz w:val="18"/>
              </w:rPr>
              <w:t>Strategy</w:t>
            </w:r>
          </w:p>
        </w:tc>
        <w:tc>
          <w:tcPr>
            <w:tcW w:w="3118" w:type="dxa"/>
          </w:tcPr>
          <w:p w14:paraId="5A528B39" w14:textId="77777777" w:rsidR="0037691D" w:rsidRDefault="0068374F">
            <w:pPr>
              <w:pStyle w:val="TableParagraph"/>
              <w:spacing w:line="254" w:lineRule="auto"/>
              <w:ind w:left="1238" w:hanging="96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SpiderRock</w:t>
            </w:r>
            <w:r>
              <w:rPr>
                <w:color w:val="2B3D4F"/>
                <w:spacing w:val="-1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continuous</w:t>
            </w:r>
            <w:r>
              <w:rPr>
                <w:color w:val="2B3D4F"/>
                <w:spacing w:val="-12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dynamic </w:t>
            </w:r>
            <w:r>
              <w:rPr>
                <w:color w:val="2B3D4F"/>
                <w:spacing w:val="-2"/>
                <w:sz w:val="18"/>
              </w:rPr>
              <w:t>hedging</w:t>
            </w:r>
          </w:p>
        </w:tc>
        <w:tc>
          <w:tcPr>
            <w:tcW w:w="3118" w:type="dxa"/>
          </w:tcPr>
          <w:p w14:paraId="5A528B3A" w14:textId="77777777" w:rsidR="0037691D" w:rsidRDefault="0068374F">
            <w:pPr>
              <w:pStyle w:val="TableParagraph"/>
              <w:spacing w:before="196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On index reference </w:t>
            </w:r>
            <w:r>
              <w:rPr>
                <w:color w:val="2B3D4F"/>
                <w:spacing w:val="-2"/>
                <w:sz w:val="18"/>
              </w:rPr>
              <w:t>assets</w:t>
            </w:r>
          </w:p>
        </w:tc>
      </w:tr>
      <w:tr w:rsidR="0037691D" w14:paraId="5A528B3F" w14:textId="77777777">
        <w:trPr>
          <w:trHeight w:val="370"/>
        </w:trPr>
        <w:tc>
          <w:tcPr>
            <w:tcW w:w="2835" w:type="dxa"/>
            <w:shd w:val="clear" w:color="auto" w:fill="F7F9F9"/>
          </w:tcPr>
          <w:p w14:paraId="5A528B3C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Wholesale Funder </w:t>
            </w:r>
            <w:r>
              <w:rPr>
                <w:color w:val="2B3D4F"/>
                <w:spacing w:val="-2"/>
                <w:sz w:val="18"/>
              </w:rPr>
              <w:t>Margin</w:t>
            </w:r>
          </w:p>
        </w:tc>
        <w:tc>
          <w:tcPr>
            <w:tcW w:w="3118" w:type="dxa"/>
            <w:shd w:val="clear" w:color="auto" w:fill="F7F9F9"/>
          </w:tcPr>
          <w:p w14:paraId="5A528B3D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2.00%</w:t>
            </w:r>
          </w:p>
        </w:tc>
        <w:tc>
          <w:tcPr>
            <w:tcW w:w="3118" w:type="dxa"/>
            <w:shd w:val="clear" w:color="auto" w:fill="F7F9F9"/>
          </w:tcPr>
          <w:p w14:paraId="5A528B3E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Unchanged</w:t>
            </w:r>
          </w:p>
        </w:tc>
      </w:tr>
      <w:tr w:rsidR="0037691D" w14:paraId="5A528B43" w14:textId="77777777">
        <w:trPr>
          <w:trHeight w:val="370"/>
        </w:trPr>
        <w:tc>
          <w:tcPr>
            <w:tcW w:w="2835" w:type="dxa"/>
          </w:tcPr>
          <w:p w14:paraId="5A528B40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Retail </w:t>
            </w:r>
            <w:r>
              <w:rPr>
                <w:color w:val="2B3D4F"/>
                <w:spacing w:val="-5"/>
                <w:sz w:val="18"/>
              </w:rPr>
              <w:t>NIM</w:t>
            </w:r>
          </w:p>
        </w:tc>
        <w:tc>
          <w:tcPr>
            <w:tcW w:w="3118" w:type="dxa"/>
          </w:tcPr>
          <w:p w14:paraId="5A528B41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0.75%</w:t>
            </w:r>
          </w:p>
        </w:tc>
        <w:tc>
          <w:tcPr>
            <w:tcW w:w="3118" w:type="dxa"/>
          </w:tcPr>
          <w:p w14:paraId="5A528B42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>Was 0.70% in v14c-</w:t>
            </w:r>
            <w:r>
              <w:rPr>
                <w:color w:val="2B3D4F"/>
                <w:spacing w:val="-5"/>
                <w:sz w:val="18"/>
              </w:rPr>
              <w:t>003</w:t>
            </w:r>
          </w:p>
        </w:tc>
      </w:tr>
      <w:tr w:rsidR="0037691D" w14:paraId="5A528B47" w14:textId="77777777">
        <w:trPr>
          <w:trHeight w:val="370"/>
        </w:trPr>
        <w:tc>
          <w:tcPr>
            <w:tcW w:w="2835" w:type="dxa"/>
            <w:shd w:val="clear" w:color="auto" w:fill="F7F9F9"/>
          </w:tcPr>
          <w:p w14:paraId="5A528B44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Hedging </w:t>
            </w:r>
            <w:r>
              <w:rPr>
                <w:color w:val="2B3D4F"/>
                <w:spacing w:val="-5"/>
                <w:sz w:val="18"/>
              </w:rPr>
              <w:t>Fee</w:t>
            </w:r>
          </w:p>
        </w:tc>
        <w:tc>
          <w:tcPr>
            <w:tcW w:w="3118" w:type="dxa"/>
            <w:shd w:val="clear" w:color="auto" w:fill="F7F9F9"/>
          </w:tcPr>
          <w:p w14:paraId="5A528B45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0.25%</w:t>
            </w:r>
          </w:p>
        </w:tc>
        <w:tc>
          <w:tcPr>
            <w:tcW w:w="3118" w:type="dxa"/>
            <w:shd w:val="clear" w:color="auto" w:fill="F7F9F9"/>
          </w:tcPr>
          <w:p w14:paraId="5A528B46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Unchanged</w:t>
            </w:r>
          </w:p>
        </w:tc>
      </w:tr>
      <w:tr w:rsidR="0037691D" w14:paraId="5A528B4B" w14:textId="77777777">
        <w:trPr>
          <w:trHeight w:val="370"/>
        </w:trPr>
        <w:tc>
          <w:tcPr>
            <w:tcW w:w="2835" w:type="dxa"/>
          </w:tcPr>
          <w:p w14:paraId="5A528B48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FP </w:t>
            </w:r>
            <w:r>
              <w:rPr>
                <w:color w:val="2B3D4F"/>
                <w:spacing w:val="-2"/>
                <w:sz w:val="18"/>
              </w:rPr>
              <w:t>Margin</w:t>
            </w:r>
          </w:p>
        </w:tc>
        <w:tc>
          <w:tcPr>
            <w:tcW w:w="3118" w:type="dxa"/>
          </w:tcPr>
          <w:p w14:paraId="5A528B49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0.50%</w:t>
            </w:r>
          </w:p>
        </w:tc>
        <w:tc>
          <w:tcPr>
            <w:tcW w:w="3118" w:type="dxa"/>
          </w:tcPr>
          <w:p w14:paraId="5A528B4A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Unchanged</w:t>
            </w:r>
          </w:p>
        </w:tc>
      </w:tr>
      <w:tr w:rsidR="0037691D" w14:paraId="5A528B4F" w14:textId="77777777">
        <w:trPr>
          <w:trHeight w:val="370"/>
        </w:trPr>
        <w:tc>
          <w:tcPr>
            <w:tcW w:w="2835" w:type="dxa"/>
            <w:shd w:val="clear" w:color="auto" w:fill="F7F9F9"/>
          </w:tcPr>
          <w:p w14:paraId="5A528B4C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LMI </w:t>
            </w:r>
            <w:r>
              <w:rPr>
                <w:color w:val="2B3D4F"/>
                <w:spacing w:val="-2"/>
                <w:sz w:val="18"/>
              </w:rPr>
              <w:t>Upfront</w:t>
            </w:r>
          </w:p>
        </w:tc>
        <w:tc>
          <w:tcPr>
            <w:tcW w:w="3118" w:type="dxa"/>
            <w:shd w:val="clear" w:color="auto" w:fill="F7F9F9"/>
          </w:tcPr>
          <w:p w14:paraId="5A528B4D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0.80%</w:t>
            </w:r>
          </w:p>
        </w:tc>
        <w:tc>
          <w:tcPr>
            <w:tcW w:w="3118" w:type="dxa"/>
            <w:shd w:val="clear" w:color="auto" w:fill="F7F9F9"/>
          </w:tcPr>
          <w:p w14:paraId="5A528B4E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>Was 0.65% in v14c-</w:t>
            </w:r>
            <w:r>
              <w:rPr>
                <w:color w:val="2B3D4F"/>
                <w:spacing w:val="-5"/>
                <w:sz w:val="18"/>
              </w:rPr>
              <w:t>003</w:t>
            </w:r>
          </w:p>
        </w:tc>
      </w:tr>
      <w:tr w:rsidR="0037691D" w14:paraId="5A528B53" w14:textId="77777777">
        <w:trPr>
          <w:trHeight w:val="370"/>
        </w:trPr>
        <w:tc>
          <w:tcPr>
            <w:tcW w:w="2835" w:type="dxa"/>
          </w:tcPr>
          <w:p w14:paraId="5A528B50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Total Variable </w:t>
            </w:r>
            <w:r>
              <w:rPr>
                <w:color w:val="2B3D4F"/>
                <w:spacing w:val="-2"/>
                <w:sz w:val="18"/>
              </w:rPr>
              <w:t>Costs</w:t>
            </w:r>
          </w:p>
        </w:tc>
        <w:tc>
          <w:tcPr>
            <w:tcW w:w="3118" w:type="dxa"/>
          </w:tcPr>
          <w:p w14:paraId="5A528B51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3.50%</w:t>
            </w:r>
          </w:p>
        </w:tc>
        <w:tc>
          <w:tcPr>
            <w:tcW w:w="3118" w:type="dxa"/>
          </w:tcPr>
          <w:p w14:paraId="5A528B52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>Was 3.45% in v14c-</w:t>
            </w:r>
            <w:r>
              <w:rPr>
                <w:color w:val="2B3D4F"/>
                <w:spacing w:val="-5"/>
                <w:sz w:val="18"/>
              </w:rPr>
              <w:t>003</w:t>
            </w:r>
          </w:p>
        </w:tc>
      </w:tr>
      <w:tr w:rsidR="0037691D" w14:paraId="5A528B57" w14:textId="77777777">
        <w:trPr>
          <w:trHeight w:val="370"/>
        </w:trPr>
        <w:tc>
          <w:tcPr>
            <w:tcW w:w="2835" w:type="dxa"/>
            <w:shd w:val="clear" w:color="auto" w:fill="F7F9F9"/>
          </w:tcPr>
          <w:p w14:paraId="5A528B54" w14:textId="77777777" w:rsidR="0037691D" w:rsidRDefault="0068374F">
            <w:pPr>
              <w:pStyle w:val="TableParagraph"/>
              <w:spacing w:before="74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Cash Rate (</w:t>
            </w:r>
            <w:r>
              <w:rPr>
                <w:rFonts w:ascii="Symbol" w:hAnsi="Symbol"/>
                <w:color w:val="2B3D4F"/>
                <w:sz w:val="18"/>
              </w:rPr>
              <w:t></w:t>
            </w:r>
            <w:r>
              <w:rPr>
                <w:rFonts w:ascii="Times New Roman" w:hAnsi="Times New Roman"/>
                <w:color w:val="2B3D4F"/>
                <w:spacing w:val="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/ </w:t>
            </w:r>
            <w:r>
              <w:rPr>
                <w:rFonts w:ascii="Symbol" w:hAnsi="Symbol"/>
                <w:color w:val="2B3D4F"/>
                <w:sz w:val="18"/>
              </w:rPr>
              <w:t></w:t>
            </w:r>
            <w:r>
              <w:rPr>
                <w:rFonts w:ascii="Times New Roman" w:hAnsi="Times New Roman"/>
                <w:color w:val="2B3D4F"/>
                <w:spacing w:val="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/ </w:t>
            </w:r>
            <w:r>
              <w:rPr>
                <w:rFonts w:ascii="Symbol" w:hAnsi="Symbol"/>
                <w:color w:val="2B3D4F"/>
                <w:spacing w:val="-5"/>
                <w:sz w:val="18"/>
              </w:rPr>
              <w:t></w:t>
            </w:r>
            <w:r>
              <w:rPr>
                <w:color w:val="2B3D4F"/>
                <w:spacing w:val="-5"/>
                <w:sz w:val="18"/>
              </w:rPr>
              <w:t>)</w:t>
            </w:r>
          </w:p>
        </w:tc>
        <w:tc>
          <w:tcPr>
            <w:tcW w:w="3118" w:type="dxa"/>
            <w:shd w:val="clear" w:color="auto" w:fill="F7F9F9"/>
          </w:tcPr>
          <w:p w14:paraId="5A528B55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2.13% / 0.24 / </w:t>
            </w:r>
            <w:r>
              <w:rPr>
                <w:color w:val="2B3D4F"/>
                <w:spacing w:val="-2"/>
                <w:sz w:val="18"/>
              </w:rPr>
              <w:t>1.22%</w:t>
            </w:r>
          </w:p>
        </w:tc>
        <w:tc>
          <w:tcPr>
            <w:tcW w:w="3118" w:type="dxa"/>
            <w:shd w:val="clear" w:color="auto" w:fill="F7F9F9"/>
          </w:tcPr>
          <w:p w14:paraId="5A528B56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OU process; exact </w:t>
            </w:r>
            <w:r>
              <w:rPr>
                <w:color w:val="2B3D4F"/>
                <w:spacing w:val="-2"/>
                <w:sz w:val="18"/>
              </w:rPr>
              <w:t>discretisation</w:t>
            </w:r>
          </w:p>
        </w:tc>
      </w:tr>
      <w:tr w:rsidR="0037691D" w14:paraId="5A528B5B" w14:textId="77777777">
        <w:trPr>
          <w:trHeight w:val="370"/>
        </w:trPr>
        <w:tc>
          <w:tcPr>
            <w:tcW w:w="2835" w:type="dxa"/>
          </w:tcPr>
          <w:p w14:paraId="5A528B58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Cash Rate </w:t>
            </w:r>
            <w:r>
              <w:rPr>
                <w:color w:val="2B3D4F"/>
                <w:spacing w:val="-2"/>
                <w:sz w:val="18"/>
              </w:rPr>
              <w:t>Initial</w:t>
            </w:r>
          </w:p>
        </w:tc>
        <w:tc>
          <w:tcPr>
            <w:tcW w:w="3118" w:type="dxa"/>
          </w:tcPr>
          <w:p w14:paraId="5A528B59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4.21%</w:t>
            </w:r>
          </w:p>
        </w:tc>
        <w:tc>
          <w:tcPr>
            <w:tcW w:w="3118" w:type="dxa"/>
          </w:tcPr>
          <w:p w14:paraId="5A528B5A" w14:textId="77777777" w:rsidR="0037691D" w:rsidRDefault="0037691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7691D" w14:paraId="5A528B5F" w14:textId="77777777">
        <w:trPr>
          <w:trHeight w:val="370"/>
        </w:trPr>
        <w:tc>
          <w:tcPr>
            <w:tcW w:w="2835" w:type="dxa"/>
            <w:shd w:val="clear" w:color="auto" w:fill="F7F9F9"/>
          </w:tcPr>
          <w:p w14:paraId="5A528B5C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Correlation (equity–</w:t>
            </w:r>
            <w:r>
              <w:rPr>
                <w:color w:val="2B3D4F"/>
                <w:spacing w:val="-2"/>
                <w:sz w:val="18"/>
              </w:rPr>
              <w:t>rate)</w:t>
            </w:r>
          </w:p>
        </w:tc>
        <w:tc>
          <w:tcPr>
            <w:tcW w:w="3118" w:type="dxa"/>
            <w:shd w:val="clear" w:color="auto" w:fill="F7F9F9"/>
          </w:tcPr>
          <w:p w14:paraId="5A528B5D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0.3</w:t>
            </w:r>
          </w:p>
        </w:tc>
        <w:tc>
          <w:tcPr>
            <w:tcW w:w="3118" w:type="dxa"/>
            <w:shd w:val="clear" w:color="auto" w:fill="F7F9F9"/>
          </w:tcPr>
          <w:p w14:paraId="5A528B5E" w14:textId="77777777" w:rsidR="0037691D" w:rsidRDefault="0037691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7691D" w14:paraId="5A528B63" w14:textId="77777777">
        <w:trPr>
          <w:trHeight w:val="370"/>
        </w:trPr>
        <w:tc>
          <w:tcPr>
            <w:tcW w:w="2835" w:type="dxa"/>
          </w:tcPr>
          <w:p w14:paraId="5A528B60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Collar </w:t>
            </w:r>
            <w:r>
              <w:rPr>
                <w:color w:val="2B3D4F"/>
                <w:spacing w:val="-2"/>
                <w:sz w:val="18"/>
              </w:rPr>
              <w:t>Price</w:t>
            </w:r>
          </w:p>
        </w:tc>
        <w:tc>
          <w:tcPr>
            <w:tcW w:w="3118" w:type="dxa"/>
          </w:tcPr>
          <w:p w14:paraId="5A528B61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0.046% </w:t>
            </w:r>
            <w:r>
              <w:rPr>
                <w:color w:val="2B3D4F"/>
                <w:spacing w:val="-4"/>
                <w:sz w:val="18"/>
              </w:rPr>
              <w:t>p.a.</w:t>
            </w:r>
          </w:p>
        </w:tc>
        <w:tc>
          <w:tcPr>
            <w:tcW w:w="3118" w:type="dxa"/>
          </w:tcPr>
          <w:p w14:paraId="5A528B62" w14:textId="77777777" w:rsidR="0037691D" w:rsidRDefault="0068374F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Put-call near-zero </w:t>
            </w:r>
            <w:r>
              <w:rPr>
                <w:color w:val="2B3D4F"/>
                <w:spacing w:val="-5"/>
                <w:sz w:val="18"/>
              </w:rPr>
              <w:t>net</w:t>
            </w:r>
          </w:p>
        </w:tc>
      </w:tr>
      <w:tr w:rsidR="0037691D" w14:paraId="5A528B67" w14:textId="77777777">
        <w:trPr>
          <w:trHeight w:val="590"/>
        </w:trPr>
        <w:tc>
          <w:tcPr>
            <w:tcW w:w="2835" w:type="dxa"/>
            <w:shd w:val="clear" w:color="auto" w:fill="F7F9F9"/>
          </w:tcPr>
          <w:p w14:paraId="5A528B64" w14:textId="77777777" w:rsidR="0037691D" w:rsidRDefault="0068374F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Simulation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  <w:tc>
          <w:tcPr>
            <w:tcW w:w="3118" w:type="dxa"/>
            <w:shd w:val="clear" w:color="auto" w:fill="F7F9F9"/>
          </w:tcPr>
          <w:p w14:paraId="5A528B65" w14:textId="77777777" w:rsidR="0037691D" w:rsidRDefault="0068374F">
            <w:pPr>
              <w:pStyle w:val="TableParagraph"/>
              <w:spacing w:before="196"/>
              <w:ind w:left="9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50,000</w:t>
            </w:r>
          </w:p>
        </w:tc>
        <w:tc>
          <w:tcPr>
            <w:tcW w:w="3118" w:type="dxa"/>
            <w:shd w:val="clear" w:color="auto" w:fill="F7F9F9"/>
          </w:tcPr>
          <w:p w14:paraId="5A528B66" w14:textId="78ADEEA5" w:rsidR="0037691D" w:rsidRDefault="0068374F">
            <w:pPr>
              <w:pStyle w:val="TableParagraph"/>
              <w:spacing w:line="254" w:lineRule="auto"/>
              <w:ind w:left="753" w:hanging="223"/>
              <w:jc w:val="left"/>
              <w:rPr>
                <w:sz w:val="18"/>
              </w:rPr>
            </w:pPr>
            <w:r w:rsidRPr="003923D5">
              <w:rPr>
                <w:strike/>
                <w:color w:val="2B3D4F"/>
                <w:sz w:val="18"/>
              </w:rPr>
              <w:t>10×</w:t>
            </w:r>
            <w:r w:rsidR="00F957D7">
              <w:rPr>
                <w:strike/>
                <w:color w:val="2B3D4F"/>
                <w:sz w:val="18"/>
              </w:rPr>
              <w:t xml:space="preserve"> </w:t>
            </w:r>
            <w:r w:rsidR="00F957D7">
              <w:rPr>
                <w:strike/>
                <w:color w:val="EE0000"/>
                <w:sz w:val="18"/>
              </w:rPr>
              <w:t xml:space="preserve">50x </w:t>
            </w:r>
            <w:r>
              <w:rPr>
                <w:color w:val="2B3D4F"/>
                <w:spacing w:val="-13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more</w:t>
            </w:r>
            <w:r>
              <w:rPr>
                <w:color w:val="2B3D4F"/>
                <w:spacing w:val="-12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than</w:t>
            </w:r>
            <w:r>
              <w:rPr>
                <w:color w:val="2B3D4F"/>
                <w:spacing w:val="-13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production spreadsheet (1,000)</w:t>
            </w:r>
          </w:p>
        </w:tc>
      </w:tr>
    </w:tbl>
    <w:p w14:paraId="5A528B68" w14:textId="77777777" w:rsidR="0037691D" w:rsidRDefault="0037691D">
      <w:pPr>
        <w:pStyle w:val="TableParagraph"/>
        <w:spacing w:line="254" w:lineRule="auto"/>
        <w:jc w:val="left"/>
        <w:rPr>
          <w:sz w:val="18"/>
        </w:rPr>
        <w:sectPr w:rsidR="0037691D">
          <w:pgSz w:w="11910" w:h="16840"/>
          <w:pgMar w:top="1480" w:right="1275" w:bottom="820" w:left="1275" w:header="0" w:footer="625" w:gutter="0"/>
          <w:cols w:space="720"/>
        </w:sectPr>
      </w:pPr>
    </w:p>
    <w:p w14:paraId="5A528B69" w14:textId="77777777" w:rsidR="0037691D" w:rsidRDefault="0068374F">
      <w:pPr>
        <w:pStyle w:val="Heading1"/>
      </w:pPr>
      <w:r>
        <w:rPr>
          <w:color w:val="2B3D4F"/>
        </w:rPr>
        <w:lastRenderedPageBreak/>
        <w:t xml:space="preserve">Equity Return </w:t>
      </w:r>
      <w:r>
        <w:rPr>
          <w:color w:val="2B3D4F"/>
          <w:spacing w:val="-2"/>
        </w:rPr>
        <w:t>Model</w:t>
      </w:r>
    </w:p>
    <w:p w14:paraId="5A528B6A" w14:textId="77777777" w:rsidR="0037691D" w:rsidRDefault="0068374F">
      <w:pPr>
        <w:pStyle w:val="BodyText"/>
        <w:spacing w:before="242" w:line="292" w:lineRule="auto"/>
        <w:ind w:right="259"/>
      </w:pPr>
      <w:r>
        <w:rPr>
          <w:color w:val="2B3D4F"/>
        </w:rPr>
        <w:t xml:space="preserve">The EPM holds a portfolio of </w:t>
      </w:r>
      <w:r>
        <w:rPr>
          <w:b/>
          <w:color w:val="2B3D4F"/>
        </w:rPr>
        <w:t xml:space="preserve">index reference assets </w:t>
      </w:r>
      <w:r>
        <w:rPr>
          <w:color w:val="2B3D4F"/>
        </w:rPr>
        <w:t>against each mortgage. The returns on this portfolio — not the returns on any single stock — determine whether the contract crystallises a deficit at maturity. The distinction matters. The appropriate statistical model for an index series is different from the appropriate model for a single stock.</w:t>
      </w:r>
    </w:p>
    <w:p w14:paraId="5A528B6B" w14:textId="77777777" w:rsidR="0037691D" w:rsidRDefault="0037691D">
      <w:pPr>
        <w:pStyle w:val="BodyText"/>
        <w:spacing w:before="56"/>
        <w:ind w:left="0"/>
        <w:jc w:val="left"/>
      </w:pPr>
    </w:p>
    <w:p w14:paraId="5A528B6C" w14:textId="77777777" w:rsidR="0037691D" w:rsidRDefault="0068374F">
      <w:pPr>
        <w:pStyle w:val="Heading2"/>
        <w:spacing w:before="1"/>
      </w:pPr>
      <w:r>
        <w:rPr>
          <w:color w:val="3497A8"/>
        </w:rPr>
        <w:t xml:space="preserve">Stocks versus </w:t>
      </w:r>
      <w:r>
        <w:rPr>
          <w:color w:val="3497A8"/>
          <w:spacing w:val="-2"/>
        </w:rPr>
        <w:t>Indices</w:t>
      </w:r>
    </w:p>
    <w:p w14:paraId="5A528B6D" w14:textId="77777777" w:rsidR="0037691D" w:rsidRDefault="0068374F">
      <w:pPr>
        <w:pStyle w:val="BodyText"/>
        <w:spacing w:before="203" w:line="292" w:lineRule="auto"/>
        <w:ind w:right="259"/>
      </w:pPr>
      <w:r>
        <w:rPr>
          <w:color w:val="2B3D4F"/>
        </w:rPr>
        <w:t>A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single-stock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return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series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is,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practice,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best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described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by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geometric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Brownian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motion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(GBM)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or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 GBM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variant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with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heavy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tails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or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stochastic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volatility.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Mean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reversion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single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stock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economically weak: idiosyncratic news, business performance, and unmodelled regime changes dominate any reversion to a long-run multiple. Academic evidence of stock-level mean reversion is contested.</w:t>
      </w:r>
    </w:p>
    <w:p w14:paraId="5A528B6E" w14:textId="77777777" w:rsidR="0037691D" w:rsidRDefault="0068374F">
      <w:pPr>
        <w:pStyle w:val="BodyText"/>
        <w:spacing w:before="167" w:line="290" w:lineRule="auto"/>
        <w:ind w:right="259"/>
      </w:pPr>
      <w:r>
        <w:rPr>
          <w:color w:val="2B3D4F"/>
        </w:rPr>
        <w:t>An equity-index return series is structurally different. An index is the sum of many component businesses whose idiosyncratic shocks diversify away over sufficient windows. What remains is predominantly a macroeconomic signal — corporate earnings growth tied to GDP, discount-rate movements,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aggregate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valuation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mean-reverting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through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equity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risk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premium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cycles.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This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the setting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which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mean-reversion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effects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are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empirically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detectable: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academic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literature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 xml:space="preserve">on long-horizon index returns (Fama-French 1988, Poterba-Summers 1988, Campbell-Shiller, Shevchenko 2026) consistently finds statistically meaningful reversion at horizons </w:t>
      </w:r>
      <w:r>
        <w:rPr>
          <w:rFonts w:ascii="Symbol" w:hAnsi="Symbol"/>
          <w:color w:val="2B3D4F"/>
        </w:rPr>
        <w:t>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>5 years. GBM with Stochastic Drift + Mean Reversion is the statistically best-fitting model for the series that actually matters to the EPM — the index return, not the single-stock return.</w:t>
      </w:r>
    </w:p>
    <w:p w14:paraId="5A528B6F" w14:textId="77777777" w:rsidR="0037691D" w:rsidRDefault="0068374F">
      <w:pPr>
        <w:pStyle w:val="BodyText"/>
        <w:spacing w:before="168"/>
      </w:pPr>
      <w:r>
        <w:rPr>
          <w:color w:val="2B3D4F"/>
        </w:rPr>
        <w:t xml:space="preserve">The Shevchenko (April 2026) specification </w:t>
      </w:r>
      <w:r>
        <w:rPr>
          <w:color w:val="2B3D4F"/>
          <w:spacing w:val="-5"/>
        </w:rPr>
        <w:t>is:</w:t>
      </w:r>
    </w:p>
    <w:p w14:paraId="5A528B70" w14:textId="77777777" w:rsidR="0037691D" w:rsidRDefault="0068374F">
      <w:pPr>
        <w:pStyle w:val="BodyText"/>
        <w:spacing w:before="9"/>
        <w:ind w:left="0"/>
        <w:jc w:val="left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528C5D" wp14:editId="5A528C5E">
                <wp:simplePos x="0" y="0"/>
                <wp:positionH relativeFrom="page">
                  <wp:posOffset>1027000</wp:posOffset>
                </wp:positionH>
                <wp:positionV relativeFrom="paragraph">
                  <wp:posOffset>55807</wp:posOffset>
                </wp:positionV>
                <wp:extent cx="5506085" cy="3302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06085" cy="3302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10159">
                          <a:solidFill>
                            <a:srgbClr val="1F608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528C73" w14:textId="77777777" w:rsidR="0037691D" w:rsidRDefault="0068374F">
                            <w:pPr>
                              <w:spacing w:before="111"/>
                              <w:ind w:left="112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2B3D4F"/>
                                <w:sz w:val="20"/>
                              </w:rPr>
                              <w:t xml:space="preserve">S(t+1) = S(t) · (1 +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  <w:sz w:val="20"/>
                              </w:rPr>
                              <w:t></w:t>
                            </w:r>
                            <w:r>
                              <w:rPr>
                                <w:rFonts w:ascii="Times New Roman" w:hAnsi="Times New Roman"/>
                                <w:color w:val="2B3D4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B3D4F"/>
                                <w:sz w:val="20"/>
                              </w:rPr>
                              <w:t xml:space="preserve">+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  <w:sz w:val="20"/>
                              </w:rPr>
                              <w:t>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  <w:sz w:val="20"/>
                              </w:rPr>
                              <w:t></w:t>
                            </w:r>
                            <w:r>
                              <w:rPr>
                                <w:i/>
                                <w:color w:val="2B3D4F"/>
                                <w:sz w:val="20"/>
                              </w:rPr>
                              <w:t xml:space="preserve">) +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  <w:sz w:val="20"/>
                              </w:rPr>
                              <w:t></w:t>
                            </w:r>
                            <w:r>
                              <w:rPr>
                                <w:rFonts w:ascii="Times New Roman" w:hAnsi="Times New Roman"/>
                                <w:color w:val="2B3D4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B3D4F"/>
                                <w:sz w:val="20"/>
                              </w:rPr>
                              <w:t xml:space="preserve">· (M(t)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  <w:sz w:val="20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color w:val="2B3D4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B3D4F"/>
                                <w:spacing w:val="-2"/>
                                <w:sz w:val="20"/>
                              </w:rPr>
                              <w:t>S(t))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28C5D" id="Textbox 4" o:spid="_x0000_s1027" type="#_x0000_t202" style="position:absolute;margin-left:80.85pt;margin-top:4.4pt;width:433.55pt;height:2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" fillcolor="#e9f2f7" strokecolor="#1f608c" strokeweight=".28219mm">
                <v:path arrowok="t"/>
                <v:textbox inset="0,0,0,0">
                  <w:txbxContent>
                    <w:p w14:paraId="5A528C73" w14:textId="77777777" w:rsidR="0037691D" w:rsidRDefault="0068374F">
                      <w:pPr>
                        <w:spacing w:before="111"/>
                        <w:ind w:left="112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2B3D4F"/>
                          <w:sz w:val="20"/>
                        </w:rPr>
                        <w:t xml:space="preserve">S(t+1) = S(t) · (1 + </w:t>
                      </w:r>
                      <w:r>
                        <w:rPr>
                          <w:rFonts w:ascii="Symbol" w:hAnsi="Symbol"/>
                          <w:color w:val="2B3D4F"/>
                          <w:sz w:val="20"/>
                        </w:rPr>
                        <w:t></w:t>
                      </w:r>
                      <w:r>
                        <w:rPr>
                          <w:rFonts w:ascii="Times New Roman" w:hAnsi="Times New Roman"/>
                          <w:color w:val="2B3D4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2B3D4F"/>
                          <w:sz w:val="20"/>
                        </w:rPr>
                        <w:t xml:space="preserve">+ </w:t>
                      </w:r>
                      <w:r>
                        <w:rPr>
                          <w:rFonts w:ascii="Symbol" w:hAnsi="Symbol"/>
                          <w:color w:val="2B3D4F"/>
                          <w:sz w:val="20"/>
                        </w:rPr>
                        <w:t></w:t>
                      </w:r>
                      <w:r>
                        <w:rPr>
                          <w:rFonts w:ascii="Symbol" w:hAnsi="Symbol"/>
                          <w:color w:val="2B3D4F"/>
                          <w:sz w:val="20"/>
                        </w:rPr>
                        <w:t></w:t>
                      </w:r>
                      <w:r>
                        <w:rPr>
                          <w:i/>
                          <w:color w:val="2B3D4F"/>
                          <w:sz w:val="20"/>
                        </w:rPr>
                        <w:t xml:space="preserve">) + </w:t>
                      </w:r>
                      <w:r>
                        <w:rPr>
                          <w:rFonts w:ascii="Symbol" w:hAnsi="Symbol"/>
                          <w:color w:val="2B3D4F"/>
                          <w:sz w:val="20"/>
                        </w:rPr>
                        <w:t></w:t>
                      </w:r>
                      <w:r>
                        <w:rPr>
                          <w:rFonts w:ascii="Times New Roman" w:hAnsi="Times New Roman"/>
                          <w:color w:val="2B3D4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2B3D4F"/>
                          <w:sz w:val="20"/>
                        </w:rPr>
                        <w:t xml:space="preserve">· (M(t) </w:t>
                      </w:r>
                      <w:r>
                        <w:rPr>
                          <w:rFonts w:ascii="Symbol" w:hAnsi="Symbol"/>
                          <w:color w:val="2B3D4F"/>
                          <w:sz w:val="20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color w:val="2B3D4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2B3D4F"/>
                          <w:spacing w:val="-2"/>
                          <w:sz w:val="20"/>
                        </w:rPr>
                        <w:t>S(t))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528B71" w14:textId="77777777" w:rsidR="0037691D" w:rsidRDefault="0068374F">
      <w:pPr>
        <w:pStyle w:val="BodyText"/>
        <w:spacing w:before="49" w:line="273" w:lineRule="auto"/>
        <w:ind w:right="259"/>
      </w:pPr>
      <w:r>
        <w:rPr>
          <w:color w:val="2B3D4F"/>
        </w:rPr>
        <w:t xml:space="preserve">where S(t) is the index level, M(t) is the deterministic long-run trend growing at </w:t>
      </w:r>
      <w:r>
        <w:rPr>
          <w:rFonts w:ascii="Symbol" w:hAnsi="Symbol"/>
          <w:color w:val="2B3D4F"/>
        </w:rPr>
        <w:t></w:t>
      </w:r>
      <w:r>
        <w:rPr>
          <w:color w:val="2B3D4F"/>
        </w:rPr>
        <w:t xml:space="preserve">, </w:t>
      </w:r>
      <w:r>
        <w:rPr>
          <w:rFonts w:ascii="Symbol" w:hAnsi="Symbol"/>
          <w:color w:val="2B3D4F"/>
        </w:rPr>
        <w:t>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is annual volatility, </w:t>
      </w:r>
      <w:r>
        <w:rPr>
          <w:rFonts w:ascii="Symbol" w:hAnsi="Symbol"/>
          <w:color w:val="2B3D4F"/>
        </w:rPr>
        <w:t>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is standard normal, and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is the mean-reversion speed. At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= 0 the model collapses to pure GBM. At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>= 1 the index is pulled fully back to trend each year.</w:t>
      </w:r>
    </w:p>
    <w:p w14:paraId="5A528B72" w14:textId="77777777" w:rsidR="0037691D" w:rsidRDefault="0068374F">
      <w:pPr>
        <w:pStyle w:val="BodyText"/>
        <w:spacing w:before="172" w:line="288" w:lineRule="auto"/>
        <w:ind w:right="260"/>
      </w:pPr>
      <w:r>
        <w:rPr>
          <w:color w:val="2B3D4F"/>
        </w:rPr>
        <w:t xml:space="preserve">The Optimised parameter set uses </w:t>
      </w:r>
      <w:r>
        <w:rPr>
          <w:rFonts w:ascii="Symbol" w:hAnsi="Symbol"/>
          <w:color w:val="2B3D4F"/>
        </w:rPr>
        <w:t></w:t>
      </w:r>
      <w:r>
        <w:rPr>
          <w:rFonts w:ascii="Times New Roman" w:hAnsi="Times New Roman"/>
          <w:color w:val="2B3D4F"/>
          <w:spacing w:val="32"/>
        </w:rPr>
        <w:t xml:space="preserve"> </w:t>
      </w:r>
      <w:r>
        <w:rPr>
          <w:color w:val="2B3D4F"/>
        </w:rPr>
        <w:t xml:space="preserve">= 9.2%, </w:t>
      </w:r>
      <w:r>
        <w:rPr>
          <w:rFonts w:ascii="Symbol" w:hAnsi="Symbol"/>
          <w:color w:val="2B3D4F"/>
        </w:rPr>
        <w:t></w:t>
      </w:r>
      <w:r>
        <w:rPr>
          <w:rFonts w:ascii="Times New Roman" w:hAnsi="Times New Roman"/>
          <w:color w:val="2B3D4F"/>
          <w:spacing w:val="32"/>
        </w:rPr>
        <w:t xml:space="preserve"> </w:t>
      </w:r>
      <w:r>
        <w:rPr>
          <w:color w:val="2B3D4F"/>
        </w:rPr>
        <w:t xml:space="preserve">= 16.6%,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  <w:spacing w:val="32"/>
        </w:rPr>
        <w:t xml:space="preserve"> </w:t>
      </w:r>
      <w:r>
        <w:rPr>
          <w:color w:val="2B3D4F"/>
        </w:rPr>
        <w:t>= 0.163, obtained by MLE on index total-return data in the Shevchenko paper.</w:t>
      </w:r>
    </w:p>
    <w:p w14:paraId="5A528B73" w14:textId="77777777" w:rsidR="0037691D" w:rsidRDefault="0037691D">
      <w:pPr>
        <w:pStyle w:val="BodyText"/>
        <w:spacing w:line="288" w:lineRule="auto"/>
        <w:sectPr w:rsidR="0037691D">
          <w:pgSz w:w="11910" w:h="16840"/>
          <w:pgMar w:top="1480" w:right="1275" w:bottom="820" w:left="1275" w:header="0" w:footer="625" w:gutter="0"/>
          <w:cols w:space="720"/>
        </w:sectPr>
      </w:pPr>
    </w:p>
    <w:p w14:paraId="5A528B74" w14:textId="77777777" w:rsidR="0037691D" w:rsidRDefault="0068374F">
      <w:pPr>
        <w:pStyle w:val="Heading1"/>
        <w:jc w:val="left"/>
      </w:pPr>
      <w:r>
        <w:rPr>
          <w:color w:val="2B3D4F"/>
        </w:rPr>
        <w:lastRenderedPageBreak/>
        <w:t xml:space="preserve">Base Case Results — 50,000 </w:t>
      </w:r>
      <w:r>
        <w:rPr>
          <w:color w:val="2B3D4F"/>
          <w:spacing w:val="-2"/>
        </w:rPr>
        <w:t>Paths</w:t>
      </w:r>
    </w:p>
    <w:p w14:paraId="5A528B75" w14:textId="77777777" w:rsidR="0037691D" w:rsidRDefault="0068374F">
      <w:pPr>
        <w:pStyle w:val="Heading2"/>
        <w:spacing w:before="304"/>
        <w:jc w:val="left"/>
      </w:pPr>
      <w:r>
        <w:rPr>
          <w:color w:val="3497A8"/>
        </w:rPr>
        <w:t xml:space="preserve">PoD by Year and PoC at </w:t>
      </w:r>
      <w:r>
        <w:rPr>
          <w:color w:val="3497A8"/>
          <w:spacing w:val="-2"/>
        </w:rPr>
        <w:t>Maturity</w:t>
      </w:r>
    </w:p>
    <w:p w14:paraId="5A528B76" w14:textId="77777777" w:rsidR="0037691D" w:rsidRDefault="0068374F">
      <w:pPr>
        <w:pStyle w:val="BodyText"/>
        <w:spacing w:before="68"/>
        <w:ind w:left="0"/>
        <w:jc w:val="left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5A528C5F" wp14:editId="5A528C60">
            <wp:simplePos x="0" y="0"/>
            <wp:positionH relativeFrom="page">
              <wp:posOffset>977167</wp:posOffset>
            </wp:positionH>
            <wp:positionV relativeFrom="paragraph">
              <wp:posOffset>204702</wp:posOffset>
            </wp:positionV>
            <wp:extent cx="5568847" cy="338651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847" cy="338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28B77" w14:textId="77777777" w:rsidR="0037691D" w:rsidRDefault="0068374F">
      <w:pPr>
        <w:pStyle w:val="BodyText"/>
        <w:spacing w:before="217" w:line="292" w:lineRule="auto"/>
        <w:ind w:right="259"/>
        <w:rPr>
          <w:b/>
        </w:rPr>
      </w:pPr>
      <w:r>
        <w:rPr>
          <w:color w:val="2B3D4F"/>
        </w:rPr>
        <w:t>PoD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starts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at</w:t>
      </w:r>
      <w:r>
        <w:rPr>
          <w:color w:val="2B3D4F"/>
          <w:spacing w:val="-1"/>
        </w:rPr>
        <w:t xml:space="preserve"> </w:t>
      </w:r>
      <w:r>
        <w:rPr>
          <w:b/>
          <w:color w:val="2B3D4F"/>
        </w:rPr>
        <w:t>51.98%</w:t>
      </w:r>
      <w:r>
        <w:rPr>
          <w:b/>
          <w:color w:val="2B3D4F"/>
          <w:spacing w:val="-1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year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1,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reflecting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deduction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of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upfront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costs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(LMI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$9,600,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collar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fee,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and variable costs for year 1) and the first annuity payment from the mortgage offset account opening capital balance. This is an accounting position, not a crystallised loss — the contract does not mature until year 30. PoD declines steadily from year 5 as P&amp;I; amortisation shrinks the mortgage balance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investment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compounding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accelerates.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crystallised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claim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metric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2"/>
        </w:rPr>
        <w:t xml:space="preserve"> </w:t>
      </w:r>
      <w:r>
        <w:rPr>
          <w:b/>
          <w:color w:val="2B3D4F"/>
        </w:rPr>
        <w:t>PoC</w:t>
      </w:r>
      <w:r>
        <w:rPr>
          <w:b/>
          <w:color w:val="2B3D4F"/>
          <w:spacing w:val="2"/>
        </w:rPr>
        <w:t xml:space="preserve"> </w:t>
      </w:r>
      <w:r>
        <w:rPr>
          <w:b/>
          <w:color w:val="2B3D4F"/>
        </w:rPr>
        <w:t>at</w:t>
      </w:r>
      <w:r>
        <w:rPr>
          <w:b/>
          <w:color w:val="2B3D4F"/>
          <w:spacing w:val="2"/>
        </w:rPr>
        <w:t xml:space="preserve"> </w:t>
      </w:r>
      <w:r>
        <w:rPr>
          <w:b/>
          <w:color w:val="2B3D4F"/>
          <w:spacing w:val="-2"/>
        </w:rPr>
        <w:t>maturity</w:t>
      </w:r>
    </w:p>
    <w:p w14:paraId="5A528B78" w14:textId="77777777" w:rsidR="0037691D" w:rsidRDefault="0068374F">
      <w:pPr>
        <w:spacing w:line="227" w:lineRule="exact"/>
        <w:ind w:left="262"/>
        <w:jc w:val="both"/>
        <w:rPr>
          <w:sz w:val="20"/>
        </w:rPr>
      </w:pPr>
      <w:r>
        <w:rPr>
          <w:b/>
          <w:color w:val="2B3D4F"/>
          <w:sz w:val="20"/>
        </w:rPr>
        <w:t xml:space="preserve">= </w:t>
      </w:r>
      <w:r>
        <w:rPr>
          <w:b/>
          <w:color w:val="2B3D4F"/>
          <w:spacing w:val="-2"/>
          <w:sz w:val="20"/>
        </w:rPr>
        <w:t>2.75%</w:t>
      </w:r>
      <w:r>
        <w:rPr>
          <w:color w:val="2B3D4F"/>
          <w:spacing w:val="-2"/>
          <w:sz w:val="20"/>
        </w:rPr>
        <w:t>.</w:t>
      </w:r>
    </w:p>
    <w:p w14:paraId="5A528B79" w14:textId="77777777" w:rsidR="0037691D" w:rsidRDefault="0037691D">
      <w:pPr>
        <w:spacing w:line="227" w:lineRule="exact"/>
        <w:jc w:val="both"/>
        <w:rPr>
          <w:sz w:val="20"/>
        </w:rPr>
        <w:sectPr w:rsidR="0037691D">
          <w:pgSz w:w="11910" w:h="16840"/>
          <w:pgMar w:top="1480" w:right="1275" w:bottom="820" w:left="1275" w:header="0" w:footer="625" w:gutter="0"/>
          <w:cols w:space="720"/>
        </w:sectPr>
      </w:pPr>
    </w:p>
    <w:p w14:paraId="5A528B7A" w14:textId="77777777" w:rsidR="0037691D" w:rsidRDefault="0068374F">
      <w:pPr>
        <w:pStyle w:val="Heading2"/>
        <w:spacing w:before="77"/>
        <w:jc w:val="left"/>
      </w:pPr>
      <w:r>
        <w:rPr>
          <w:color w:val="3497A8"/>
        </w:rPr>
        <w:lastRenderedPageBreak/>
        <w:t xml:space="preserve">Surplus </w:t>
      </w:r>
      <w:r>
        <w:rPr>
          <w:color w:val="3497A8"/>
          <w:spacing w:val="-2"/>
        </w:rPr>
        <w:t>Distribution</w:t>
      </w:r>
    </w:p>
    <w:p w14:paraId="5A528B7B" w14:textId="77777777" w:rsidR="0037691D" w:rsidRDefault="0068374F">
      <w:pPr>
        <w:pStyle w:val="BodyText"/>
        <w:spacing w:before="67"/>
        <w:ind w:left="0"/>
        <w:jc w:val="left"/>
        <w:rPr>
          <w:b/>
        </w:rPr>
      </w:pP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5A528C61" wp14:editId="5A528C62">
            <wp:simplePos x="0" y="0"/>
            <wp:positionH relativeFrom="page">
              <wp:posOffset>974459</wp:posOffset>
            </wp:positionH>
            <wp:positionV relativeFrom="paragraph">
              <wp:posOffset>204385</wp:posOffset>
            </wp:positionV>
            <wp:extent cx="5574424" cy="338651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424" cy="338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28B7C" w14:textId="77777777" w:rsidR="0037691D" w:rsidRDefault="0037691D">
      <w:pPr>
        <w:pStyle w:val="BodyText"/>
        <w:spacing w:before="4"/>
        <w:ind w:left="0"/>
        <w:jc w:val="left"/>
        <w:rPr>
          <w:b/>
          <w:sz w:val="17"/>
        </w:rPr>
      </w:pPr>
    </w:p>
    <w:tbl>
      <w:tblPr>
        <w:tblW w:w="0" w:type="auto"/>
        <w:tblInd w:w="289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984"/>
        <w:gridCol w:w="3685"/>
      </w:tblGrid>
      <w:tr w:rsidR="0037691D" w14:paraId="5A528B80" w14:textId="77777777">
        <w:trPr>
          <w:trHeight w:val="370"/>
        </w:trPr>
        <w:tc>
          <w:tcPr>
            <w:tcW w:w="3118" w:type="dxa"/>
            <w:shd w:val="clear" w:color="auto" w:fill="2B3D4F"/>
          </w:tcPr>
          <w:p w14:paraId="5A528B7D" w14:textId="77777777" w:rsidR="0037691D" w:rsidRDefault="0068374F"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1984" w:type="dxa"/>
            <w:shd w:val="clear" w:color="auto" w:fill="2B3D4F"/>
          </w:tcPr>
          <w:p w14:paraId="5A528B7E" w14:textId="77777777" w:rsidR="0037691D" w:rsidRDefault="0068374F">
            <w:pPr>
              <w:pStyle w:val="TableParagraph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Value</w:t>
            </w:r>
          </w:p>
        </w:tc>
        <w:tc>
          <w:tcPr>
            <w:tcW w:w="3685" w:type="dxa"/>
            <w:shd w:val="clear" w:color="auto" w:fill="2B3D4F"/>
          </w:tcPr>
          <w:p w14:paraId="5A528B7F" w14:textId="77777777" w:rsidR="0037691D" w:rsidRDefault="0068374F">
            <w:pPr>
              <w:pStyle w:val="TableParagraph"/>
              <w:ind w:left="11" w:right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Interpretation</w:t>
            </w:r>
          </w:p>
        </w:tc>
      </w:tr>
      <w:tr w:rsidR="0037691D" w14:paraId="5A528B84" w14:textId="77777777">
        <w:trPr>
          <w:trHeight w:val="370"/>
        </w:trPr>
        <w:tc>
          <w:tcPr>
            <w:tcW w:w="3118" w:type="dxa"/>
          </w:tcPr>
          <w:p w14:paraId="5A528B81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PoC at Year 30 </w:t>
            </w:r>
            <w:r>
              <w:rPr>
                <w:color w:val="2B3D4F"/>
                <w:spacing w:val="-2"/>
                <w:sz w:val="18"/>
              </w:rPr>
              <w:t>(LMI)</w:t>
            </w:r>
          </w:p>
        </w:tc>
        <w:tc>
          <w:tcPr>
            <w:tcW w:w="1984" w:type="dxa"/>
          </w:tcPr>
          <w:p w14:paraId="5A528B82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2.75%</w:t>
            </w:r>
          </w:p>
        </w:tc>
        <w:tc>
          <w:tcPr>
            <w:tcW w:w="3685" w:type="dxa"/>
          </w:tcPr>
          <w:p w14:paraId="5A528B83" w14:textId="77777777" w:rsidR="0037691D" w:rsidRDefault="0068374F">
            <w:pPr>
              <w:pStyle w:val="TableParagraph"/>
              <w:ind w:left="11" w:right="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SE 0.07% at 50,000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</w:tr>
      <w:tr w:rsidR="0037691D" w14:paraId="5A528B88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5A528B85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PoC at Year 30 </w:t>
            </w:r>
            <w:r>
              <w:rPr>
                <w:color w:val="2B3D4F"/>
                <w:spacing w:val="-2"/>
                <w:sz w:val="18"/>
              </w:rPr>
              <w:t>(tail)</w:t>
            </w:r>
          </w:p>
        </w:tc>
        <w:tc>
          <w:tcPr>
            <w:tcW w:w="1984" w:type="dxa"/>
            <w:shd w:val="clear" w:color="auto" w:fill="F7F9F9"/>
          </w:tcPr>
          <w:p w14:paraId="5A528B86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0.55%</w:t>
            </w:r>
          </w:p>
        </w:tc>
        <w:tc>
          <w:tcPr>
            <w:tcW w:w="3685" w:type="dxa"/>
            <w:shd w:val="clear" w:color="auto" w:fill="F7F9F9"/>
          </w:tcPr>
          <w:p w14:paraId="5A528B87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Beyond P20 of deficit </w:t>
            </w:r>
            <w:r>
              <w:rPr>
                <w:color w:val="2B3D4F"/>
                <w:spacing w:val="-2"/>
                <w:sz w:val="18"/>
              </w:rPr>
              <w:t>distribution</w:t>
            </w:r>
          </w:p>
        </w:tc>
      </w:tr>
      <w:tr w:rsidR="0037691D" w14:paraId="5A528B8C" w14:textId="77777777">
        <w:trPr>
          <w:trHeight w:val="370"/>
        </w:trPr>
        <w:tc>
          <w:tcPr>
            <w:tcW w:w="3118" w:type="dxa"/>
          </w:tcPr>
          <w:p w14:paraId="5A528B89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Mean </w:t>
            </w:r>
            <w:r>
              <w:rPr>
                <w:color w:val="2B3D4F"/>
                <w:spacing w:val="-2"/>
                <w:sz w:val="18"/>
              </w:rPr>
              <w:t>surplus</w:t>
            </w:r>
          </w:p>
        </w:tc>
        <w:tc>
          <w:tcPr>
            <w:tcW w:w="1984" w:type="dxa"/>
          </w:tcPr>
          <w:p w14:paraId="5A528B8A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$1,553,535</w:t>
            </w:r>
          </w:p>
        </w:tc>
        <w:tc>
          <w:tcPr>
            <w:tcW w:w="3685" w:type="dxa"/>
          </w:tcPr>
          <w:p w14:paraId="5A528B8B" w14:textId="77777777" w:rsidR="0037691D" w:rsidRDefault="0068374F">
            <w:pPr>
              <w:pStyle w:val="TableParagraph"/>
              <w:ind w:left="11" w:right="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Across all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</w:tr>
      <w:tr w:rsidR="0037691D" w14:paraId="5A528B90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5A528B8D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Median </w:t>
            </w:r>
            <w:r>
              <w:rPr>
                <w:color w:val="2B3D4F"/>
                <w:spacing w:val="-2"/>
                <w:sz w:val="18"/>
              </w:rPr>
              <w:t>surplus</w:t>
            </w:r>
          </w:p>
        </w:tc>
        <w:tc>
          <w:tcPr>
            <w:tcW w:w="1984" w:type="dxa"/>
            <w:shd w:val="clear" w:color="auto" w:fill="F7F9F9"/>
          </w:tcPr>
          <w:p w14:paraId="5A528B8E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$1,357,825</w:t>
            </w:r>
          </w:p>
        </w:tc>
        <w:tc>
          <w:tcPr>
            <w:tcW w:w="3685" w:type="dxa"/>
            <w:shd w:val="clear" w:color="auto" w:fill="F7F9F9"/>
          </w:tcPr>
          <w:p w14:paraId="5A528B8F" w14:textId="77777777" w:rsidR="0037691D" w:rsidRDefault="0068374F">
            <w:pPr>
              <w:pStyle w:val="TableParagraph"/>
              <w:ind w:left="11" w:right="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50th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</w:tr>
      <w:tr w:rsidR="0037691D" w14:paraId="5A528B94" w14:textId="77777777">
        <w:trPr>
          <w:trHeight w:val="370"/>
        </w:trPr>
        <w:tc>
          <w:tcPr>
            <w:tcW w:w="3118" w:type="dxa"/>
          </w:tcPr>
          <w:p w14:paraId="5A528B91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1st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1984" w:type="dxa"/>
          </w:tcPr>
          <w:p w14:paraId="5A528B92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285,536</w:t>
            </w:r>
          </w:p>
        </w:tc>
        <w:tc>
          <w:tcPr>
            <w:tcW w:w="3685" w:type="dxa"/>
          </w:tcPr>
          <w:p w14:paraId="5A528B93" w14:textId="77777777" w:rsidR="0037691D" w:rsidRDefault="0068374F">
            <w:pPr>
              <w:pStyle w:val="TableParagraph"/>
              <w:ind w:left="11" w:right="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Worst 1% of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</w:tr>
      <w:tr w:rsidR="0037691D" w14:paraId="5A528B98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5A528B95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5th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1984" w:type="dxa"/>
            <w:shd w:val="clear" w:color="auto" w:fill="F7F9F9"/>
          </w:tcPr>
          <w:p w14:paraId="5A528B96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$184,562</w:t>
            </w:r>
          </w:p>
        </w:tc>
        <w:tc>
          <w:tcPr>
            <w:tcW w:w="3685" w:type="dxa"/>
            <w:shd w:val="clear" w:color="auto" w:fill="F7F9F9"/>
          </w:tcPr>
          <w:p w14:paraId="5A528B97" w14:textId="77777777" w:rsidR="0037691D" w:rsidRDefault="0037691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7691D" w14:paraId="5A528B9C" w14:textId="77777777">
        <w:trPr>
          <w:trHeight w:val="370"/>
        </w:trPr>
        <w:tc>
          <w:tcPr>
            <w:tcW w:w="3118" w:type="dxa"/>
          </w:tcPr>
          <w:p w14:paraId="5A528B99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10th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1984" w:type="dxa"/>
          </w:tcPr>
          <w:p w14:paraId="5A528B9A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$410,651</w:t>
            </w:r>
          </w:p>
        </w:tc>
        <w:tc>
          <w:tcPr>
            <w:tcW w:w="3685" w:type="dxa"/>
          </w:tcPr>
          <w:p w14:paraId="5A528B9B" w14:textId="77777777" w:rsidR="0037691D" w:rsidRDefault="0037691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7691D" w14:paraId="5A528BA0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5A528B9D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90th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1984" w:type="dxa"/>
            <w:shd w:val="clear" w:color="auto" w:fill="F7F9F9"/>
          </w:tcPr>
          <w:p w14:paraId="5A528B9E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$2,950,668</w:t>
            </w:r>
          </w:p>
        </w:tc>
        <w:tc>
          <w:tcPr>
            <w:tcW w:w="3685" w:type="dxa"/>
            <w:shd w:val="clear" w:color="auto" w:fill="F7F9F9"/>
          </w:tcPr>
          <w:p w14:paraId="5A528B9F" w14:textId="77777777" w:rsidR="0037691D" w:rsidRDefault="0037691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7691D" w14:paraId="5A528BA4" w14:textId="77777777">
        <w:trPr>
          <w:trHeight w:val="370"/>
        </w:trPr>
        <w:tc>
          <w:tcPr>
            <w:tcW w:w="3118" w:type="dxa"/>
          </w:tcPr>
          <w:p w14:paraId="5A528BA1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99th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1984" w:type="dxa"/>
          </w:tcPr>
          <w:p w14:paraId="5A528BA2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$5,087,885</w:t>
            </w:r>
          </w:p>
        </w:tc>
        <w:tc>
          <w:tcPr>
            <w:tcW w:w="3685" w:type="dxa"/>
          </w:tcPr>
          <w:p w14:paraId="5A528BA3" w14:textId="77777777" w:rsidR="0037691D" w:rsidRDefault="0068374F">
            <w:pPr>
              <w:pStyle w:val="TableParagraph"/>
              <w:ind w:left="11" w:right="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Best 1% of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</w:tr>
      <w:tr w:rsidR="0037691D" w14:paraId="5A528BA8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5A528BA5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Conditional expected </w:t>
            </w:r>
            <w:r>
              <w:rPr>
                <w:color w:val="2B3D4F"/>
                <w:spacing w:val="-2"/>
                <w:sz w:val="18"/>
              </w:rPr>
              <w:t>deficit</w:t>
            </w:r>
          </w:p>
        </w:tc>
        <w:tc>
          <w:tcPr>
            <w:tcW w:w="1984" w:type="dxa"/>
            <w:shd w:val="clear" w:color="auto" w:fill="F7F9F9"/>
          </w:tcPr>
          <w:p w14:paraId="5A528BA6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$273,161</w:t>
            </w:r>
          </w:p>
        </w:tc>
        <w:tc>
          <w:tcPr>
            <w:tcW w:w="3685" w:type="dxa"/>
            <w:shd w:val="clear" w:color="auto" w:fill="F7F9F9"/>
          </w:tcPr>
          <w:p w14:paraId="5A528BA7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Mean loss given </w:t>
            </w:r>
            <w:r>
              <w:rPr>
                <w:color w:val="2B3D4F"/>
                <w:spacing w:val="-2"/>
                <w:sz w:val="18"/>
              </w:rPr>
              <w:t>claim</w:t>
            </w:r>
          </w:p>
        </w:tc>
      </w:tr>
      <w:tr w:rsidR="0037691D" w14:paraId="5A528BAC" w14:textId="77777777">
        <w:trPr>
          <w:trHeight w:val="370"/>
        </w:trPr>
        <w:tc>
          <w:tcPr>
            <w:tcW w:w="3118" w:type="dxa"/>
          </w:tcPr>
          <w:p w14:paraId="5A528BA9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LMI fair premium </w:t>
            </w:r>
            <w:r>
              <w:rPr>
                <w:color w:val="2B3D4F"/>
                <w:spacing w:val="-4"/>
                <w:sz w:val="18"/>
              </w:rPr>
              <w:t>(PV)</w:t>
            </w:r>
          </w:p>
        </w:tc>
        <w:tc>
          <w:tcPr>
            <w:tcW w:w="1984" w:type="dxa"/>
          </w:tcPr>
          <w:p w14:paraId="5A528BAA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$3,242</w:t>
            </w:r>
          </w:p>
        </w:tc>
        <w:tc>
          <w:tcPr>
            <w:tcW w:w="3685" w:type="dxa"/>
          </w:tcPr>
          <w:p w14:paraId="5A528BAB" w14:textId="77777777" w:rsidR="0037691D" w:rsidRDefault="0068374F">
            <w:pPr>
              <w:pStyle w:val="TableParagraph"/>
              <w:spacing w:before="74"/>
              <w:ind w:left="11" w:right="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Discounted at cash-rate </w:t>
            </w:r>
            <w:r>
              <w:rPr>
                <w:rFonts w:ascii="Symbol" w:hAnsi="Symbol"/>
                <w:color w:val="2B3D4F"/>
                <w:sz w:val="18"/>
              </w:rPr>
              <w:t></w:t>
            </w:r>
            <w:r>
              <w:rPr>
                <w:rFonts w:ascii="Times New Roman" w:hAnsi="Times New Roman"/>
                <w:color w:val="2B3D4F"/>
                <w:spacing w:val="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= </w:t>
            </w:r>
            <w:r>
              <w:rPr>
                <w:color w:val="2B3D4F"/>
                <w:spacing w:val="-2"/>
                <w:sz w:val="18"/>
              </w:rPr>
              <w:t>2.13%</w:t>
            </w:r>
          </w:p>
        </w:tc>
      </w:tr>
      <w:tr w:rsidR="0037691D" w14:paraId="5A528BB0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5A528BAD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LMI loaded premium </w:t>
            </w:r>
            <w:r>
              <w:rPr>
                <w:color w:val="2B3D4F"/>
                <w:spacing w:val="-2"/>
                <w:sz w:val="18"/>
              </w:rPr>
              <w:t>(50%)</w:t>
            </w:r>
          </w:p>
        </w:tc>
        <w:tc>
          <w:tcPr>
            <w:tcW w:w="1984" w:type="dxa"/>
            <w:shd w:val="clear" w:color="auto" w:fill="F7F9F9"/>
          </w:tcPr>
          <w:p w14:paraId="5A528BAE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$4,863</w:t>
            </w:r>
          </w:p>
        </w:tc>
        <w:tc>
          <w:tcPr>
            <w:tcW w:w="3685" w:type="dxa"/>
            <w:shd w:val="clear" w:color="auto" w:fill="F7F9F9"/>
          </w:tcPr>
          <w:p w14:paraId="5A528BAF" w14:textId="77777777" w:rsidR="0037691D" w:rsidRDefault="0068374F">
            <w:pPr>
              <w:pStyle w:val="TableParagraph"/>
              <w:ind w:left="11" w:right="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0.41% of peak </w:t>
            </w:r>
            <w:r>
              <w:rPr>
                <w:color w:val="2B3D4F"/>
                <w:spacing w:val="-4"/>
                <w:sz w:val="18"/>
              </w:rPr>
              <w:t>loan</w:t>
            </w:r>
          </w:p>
        </w:tc>
      </w:tr>
      <w:tr w:rsidR="0037691D" w14:paraId="5A528BB4" w14:textId="77777777">
        <w:trPr>
          <w:trHeight w:val="370"/>
        </w:trPr>
        <w:tc>
          <w:tcPr>
            <w:tcW w:w="3118" w:type="dxa"/>
          </w:tcPr>
          <w:p w14:paraId="5A528BB1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LMI upfront </w:t>
            </w:r>
            <w:r>
              <w:rPr>
                <w:color w:val="2B3D4F"/>
                <w:spacing w:val="-2"/>
                <w:sz w:val="18"/>
              </w:rPr>
              <w:t>charged</w:t>
            </w:r>
          </w:p>
        </w:tc>
        <w:tc>
          <w:tcPr>
            <w:tcW w:w="1984" w:type="dxa"/>
          </w:tcPr>
          <w:p w14:paraId="5A528BB2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$9,600</w:t>
            </w:r>
          </w:p>
        </w:tc>
        <w:tc>
          <w:tcPr>
            <w:tcW w:w="3685" w:type="dxa"/>
          </w:tcPr>
          <w:p w14:paraId="5A528BB3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2.0× coverage over fair </w:t>
            </w:r>
            <w:r>
              <w:rPr>
                <w:color w:val="2B3D4F"/>
                <w:spacing w:val="-2"/>
                <w:sz w:val="18"/>
              </w:rPr>
              <w:t>loaded</w:t>
            </w:r>
          </w:p>
        </w:tc>
      </w:tr>
      <w:tr w:rsidR="0037691D" w14:paraId="5A528BB8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5A528BB5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Tail-risk fair premium </w:t>
            </w:r>
            <w:r>
              <w:rPr>
                <w:color w:val="2B3D4F"/>
                <w:spacing w:val="-4"/>
                <w:sz w:val="18"/>
              </w:rPr>
              <w:t>(PV)</w:t>
            </w:r>
          </w:p>
        </w:tc>
        <w:tc>
          <w:tcPr>
            <w:tcW w:w="1984" w:type="dxa"/>
            <w:shd w:val="clear" w:color="auto" w:fill="F7F9F9"/>
          </w:tcPr>
          <w:p w14:paraId="5A528BB6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$720</w:t>
            </w:r>
          </w:p>
        </w:tc>
        <w:tc>
          <w:tcPr>
            <w:tcW w:w="3685" w:type="dxa"/>
            <w:shd w:val="clear" w:color="auto" w:fill="F7F9F9"/>
          </w:tcPr>
          <w:p w14:paraId="5A528BB7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Residual beyond LMI </w:t>
            </w:r>
            <w:r>
              <w:rPr>
                <w:color w:val="2B3D4F"/>
                <w:spacing w:val="-2"/>
                <w:sz w:val="18"/>
              </w:rPr>
              <w:t>layer</w:t>
            </w:r>
          </w:p>
        </w:tc>
      </w:tr>
      <w:tr w:rsidR="0037691D" w14:paraId="5A528BBC" w14:textId="77777777">
        <w:trPr>
          <w:trHeight w:val="370"/>
        </w:trPr>
        <w:tc>
          <w:tcPr>
            <w:tcW w:w="3118" w:type="dxa"/>
          </w:tcPr>
          <w:p w14:paraId="5A528BB9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Mean holiday years (of </w:t>
            </w:r>
            <w:r>
              <w:rPr>
                <w:color w:val="2B3D4F"/>
                <w:spacing w:val="-5"/>
                <w:sz w:val="18"/>
              </w:rPr>
              <w:t>30)</w:t>
            </w:r>
          </w:p>
        </w:tc>
        <w:tc>
          <w:tcPr>
            <w:tcW w:w="1984" w:type="dxa"/>
          </w:tcPr>
          <w:p w14:paraId="5A528BBA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5.46</w:t>
            </w:r>
          </w:p>
        </w:tc>
        <w:tc>
          <w:tcPr>
            <w:tcW w:w="3685" w:type="dxa"/>
          </w:tcPr>
          <w:p w14:paraId="5A528BBB" w14:textId="77777777" w:rsidR="0037691D" w:rsidRDefault="0068374F">
            <w:pPr>
              <w:pStyle w:val="TableParagraph"/>
              <w:ind w:left="11" w:right="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Average across all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</w:tr>
      <w:tr w:rsidR="0037691D" w14:paraId="5A528BC0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5A528BBD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Paths with zero </w:t>
            </w:r>
            <w:r>
              <w:rPr>
                <w:color w:val="2B3D4F"/>
                <w:spacing w:val="-2"/>
                <w:sz w:val="18"/>
              </w:rPr>
              <w:t>holidays</w:t>
            </w:r>
          </w:p>
        </w:tc>
        <w:tc>
          <w:tcPr>
            <w:tcW w:w="1984" w:type="dxa"/>
            <w:shd w:val="clear" w:color="auto" w:fill="F7F9F9"/>
          </w:tcPr>
          <w:p w14:paraId="5A528BBE" w14:textId="77777777" w:rsidR="0037691D" w:rsidRDefault="0068374F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48.1%</w:t>
            </w:r>
          </w:p>
        </w:tc>
        <w:tc>
          <w:tcPr>
            <w:tcW w:w="3685" w:type="dxa"/>
            <w:shd w:val="clear" w:color="auto" w:fill="F7F9F9"/>
          </w:tcPr>
          <w:p w14:paraId="5A528BBF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Typical mortgage never hits </w:t>
            </w:r>
            <w:r>
              <w:rPr>
                <w:color w:val="2B3D4F"/>
                <w:spacing w:val="-2"/>
                <w:sz w:val="18"/>
              </w:rPr>
              <w:t>trigger</w:t>
            </w:r>
          </w:p>
        </w:tc>
      </w:tr>
    </w:tbl>
    <w:p w14:paraId="5A528BC1" w14:textId="77777777" w:rsidR="0037691D" w:rsidRDefault="0037691D">
      <w:pPr>
        <w:pStyle w:val="TableParagraph"/>
        <w:rPr>
          <w:sz w:val="18"/>
        </w:rPr>
        <w:sectPr w:rsidR="0037691D">
          <w:pgSz w:w="11910" w:h="16840"/>
          <w:pgMar w:top="1460" w:right="1275" w:bottom="820" w:left="1275" w:header="0" w:footer="625" w:gutter="0"/>
          <w:cols w:space="720"/>
        </w:sectPr>
      </w:pPr>
    </w:p>
    <w:p w14:paraId="5A528BC2" w14:textId="77777777" w:rsidR="0037691D" w:rsidRDefault="0068374F">
      <w:pPr>
        <w:spacing w:before="77"/>
        <w:ind w:left="262"/>
        <w:jc w:val="both"/>
        <w:rPr>
          <w:rFonts w:ascii="Symbol" w:hAnsi="Symbol"/>
          <w:sz w:val="36"/>
        </w:rPr>
      </w:pPr>
      <w:r>
        <w:rPr>
          <w:b/>
          <w:color w:val="2B3D4F"/>
          <w:sz w:val="36"/>
        </w:rPr>
        <w:lastRenderedPageBreak/>
        <w:t xml:space="preserve">Sensitivity to Mean-Reversion Speed </w:t>
      </w:r>
      <w:r>
        <w:rPr>
          <w:rFonts w:ascii="Symbol" w:hAnsi="Symbol"/>
          <w:color w:val="2B3D4F"/>
          <w:spacing w:val="-10"/>
          <w:sz w:val="36"/>
        </w:rPr>
        <w:t></w:t>
      </w:r>
    </w:p>
    <w:p w14:paraId="5A528BC3" w14:textId="77777777" w:rsidR="0037691D" w:rsidRDefault="0068374F">
      <w:pPr>
        <w:pStyle w:val="BodyText"/>
        <w:spacing w:before="227"/>
      </w:pPr>
      <w:r>
        <w:rPr>
          <w:color w:val="2B3D4F"/>
        </w:rPr>
        <w:t>The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mean-reversion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speed</w:t>
      </w:r>
      <w:r>
        <w:rPr>
          <w:color w:val="2B3D4F"/>
          <w:spacing w:val="6"/>
        </w:rPr>
        <w:t xml:space="preserve">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  <w:spacing w:val="11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single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most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load-bearing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modelling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input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beyond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6"/>
        </w:rPr>
        <w:t xml:space="preserve"> </w:t>
      </w:r>
      <w:r>
        <w:rPr>
          <w:color w:val="2B3D4F"/>
        </w:rPr>
        <w:t>equity</w:t>
      </w:r>
      <w:r>
        <w:rPr>
          <w:color w:val="2B3D4F"/>
          <w:spacing w:val="6"/>
        </w:rPr>
        <w:t xml:space="preserve"> </w:t>
      </w:r>
      <w:r>
        <w:rPr>
          <w:color w:val="2B3D4F"/>
          <w:spacing w:val="-2"/>
        </w:rPr>
        <w:t>drift</w:t>
      </w:r>
    </w:p>
    <w:p w14:paraId="5A528BC4" w14:textId="77777777" w:rsidR="0037691D" w:rsidRDefault="0068374F">
      <w:pPr>
        <w:pStyle w:val="BodyText"/>
        <w:spacing w:before="35" w:line="273" w:lineRule="auto"/>
        <w:ind w:right="259"/>
      </w:pPr>
      <w:r>
        <w:rPr>
          <w:rFonts w:ascii="Symbol" w:hAnsi="Symbol"/>
          <w:color w:val="2B3D4F"/>
        </w:rPr>
        <w:t></w:t>
      </w:r>
      <w:r>
        <w:rPr>
          <w:color w:val="2B3D4F"/>
        </w:rPr>
        <w:t xml:space="preserve">. The table and chart below show PoC, LMI fair premium, and mean surplus at six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values bracketing the Optimised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>= 0.163 point estimate. All other parameters held at Optimised base.</w:t>
      </w:r>
    </w:p>
    <w:p w14:paraId="5A528BC5" w14:textId="77777777" w:rsidR="0037691D" w:rsidRDefault="0068374F">
      <w:pPr>
        <w:pStyle w:val="BodyText"/>
        <w:spacing w:before="49"/>
        <w:ind w:left="0"/>
        <w:jc w:val="left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5A528C63" wp14:editId="5A528C64">
            <wp:simplePos x="0" y="0"/>
            <wp:positionH relativeFrom="page">
              <wp:posOffset>975718</wp:posOffset>
            </wp:positionH>
            <wp:positionV relativeFrom="paragraph">
              <wp:posOffset>192984</wp:posOffset>
            </wp:positionV>
            <wp:extent cx="5571832" cy="341414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832" cy="3414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28BC6" w14:textId="77777777" w:rsidR="0037691D" w:rsidRDefault="0037691D">
      <w:pPr>
        <w:pStyle w:val="BodyText"/>
        <w:spacing w:before="6" w:after="1"/>
        <w:ind w:left="0"/>
        <w:jc w:val="left"/>
        <w:rPr>
          <w:sz w:val="13"/>
        </w:rPr>
      </w:pPr>
    </w:p>
    <w:tbl>
      <w:tblPr>
        <w:tblW w:w="0" w:type="auto"/>
        <w:tblInd w:w="232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020"/>
        <w:gridCol w:w="1417"/>
        <w:gridCol w:w="1587"/>
        <w:gridCol w:w="1417"/>
        <w:gridCol w:w="1871"/>
      </w:tblGrid>
      <w:tr w:rsidR="0037691D" w14:paraId="5A528BCD" w14:textId="77777777">
        <w:trPr>
          <w:trHeight w:val="370"/>
        </w:trPr>
        <w:tc>
          <w:tcPr>
            <w:tcW w:w="1587" w:type="dxa"/>
            <w:shd w:val="clear" w:color="auto" w:fill="2B3D4F"/>
          </w:tcPr>
          <w:p w14:paraId="5A528BC7" w14:textId="77777777" w:rsidR="0037691D" w:rsidRDefault="0068374F">
            <w:pPr>
              <w:pStyle w:val="TableParagraph"/>
              <w:spacing w:before="74"/>
              <w:jc w:val="left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FFFFFF"/>
                <w:spacing w:val="-10"/>
                <w:sz w:val="18"/>
              </w:rPr>
              <w:t></w:t>
            </w:r>
          </w:p>
        </w:tc>
        <w:tc>
          <w:tcPr>
            <w:tcW w:w="1020" w:type="dxa"/>
            <w:shd w:val="clear" w:color="auto" w:fill="2B3D4F"/>
          </w:tcPr>
          <w:p w14:paraId="5A528BC8" w14:textId="77777777" w:rsidR="0037691D" w:rsidRDefault="0068374F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PoC</w:t>
            </w:r>
          </w:p>
        </w:tc>
        <w:tc>
          <w:tcPr>
            <w:tcW w:w="1417" w:type="dxa"/>
            <w:shd w:val="clear" w:color="auto" w:fill="2B3D4F"/>
          </w:tcPr>
          <w:p w14:paraId="5A528BC9" w14:textId="77777777" w:rsidR="0037691D" w:rsidRDefault="0068374F">
            <w:pPr>
              <w:pStyle w:val="TableParagraph"/>
              <w:ind w:left="13" w:right="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LMI </w:t>
            </w:r>
            <w:r>
              <w:rPr>
                <w:b/>
                <w:color w:val="FFFFFF"/>
                <w:spacing w:val="-4"/>
                <w:sz w:val="18"/>
              </w:rPr>
              <w:t>fair</w:t>
            </w:r>
          </w:p>
        </w:tc>
        <w:tc>
          <w:tcPr>
            <w:tcW w:w="1587" w:type="dxa"/>
            <w:shd w:val="clear" w:color="auto" w:fill="2B3D4F"/>
          </w:tcPr>
          <w:p w14:paraId="5A528BCA" w14:textId="77777777" w:rsidR="0037691D" w:rsidRDefault="0068374F">
            <w:pPr>
              <w:pStyle w:val="TableParagraph"/>
              <w:ind w:left="1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LMI </w:t>
            </w:r>
            <w:r>
              <w:rPr>
                <w:b/>
                <w:color w:val="FFFFFF"/>
                <w:spacing w:val="-2"/>
                <w:sz w:val="18"/>
              </w:rPr>
              <w:t>loaded</w:t>
            </w:r>
          </w:p>
        </w:tc>
        <w:tc>
          <w:tcPr>
            <w:tcW w:w="1417" w:type="dxa"/>
            <w:shd w:val="clear" w:color="auto" w:fill="2B3D4F"/>
          </w:tcPr>
          <w:p w14:paraId="5A528BCB" w14:textId="77777777" w:rsidR="0037691D" w:rsidRDefault="0068374F">
            <w:pPr>
              <w:pStyle w:val="TableParagraph"/>
              <w:ind w:left="1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% peak </w:t>
            </w:r>
            <w:r>
              <w:rPr>
                <w:b/>
                <w:color w:val="FFFFFF"/>
                <w:spacing w:val="-4"/>
                <w:sz w:val="18"/>
              </w:rPr>
              <w:t>loan</w:t>
            </w:r>
          </w:p>
        </w:tc>
        <w:tc>
          <w:tcPr>
            <w:tcW w:w="1871" w:type="dxa"/>
            <w:shd w:val="clear" w:color="auto" w:fill="2B3D4F"/>
          </w:tcPr>
          <w:p w14:paraId="5A528BCC" w14:textId="77777777" w:rsidR="0037691D" w:rsidRDefault="0068374F">
            <w:pPr>
              <w:pStyle w:val="TableParagraph"/>
              <w:ind w:left="1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Median </w:t>
            </w:r>
            <w:r>
              <w:rPr>
                <w:b/>
                <w:color w:val="FFFFFF"/>
                <w:spacing w:val="-2"/>
                <w:sz w:val="18"/>
              </w:rPr>
              <w:t>surplus</w:t>
            </w:r>
          </w:p>
        </w:tc>
      </w:tr>
      <w:tr w:rsidR="0037691D" w14:paraId="5A528BD4" w14:textId="77777777">
        <w:trPr>
          <w:trHeight w:val="590"/>
        </w:trPr>
        <w:tc>
          <w:tcPr>
            <w:tcW w:w="1587" w:type="dxa"/>
          </w:tcPr>
          <w:p w14:paraId="5A528BCE" w14:textId="77777777" w:rsidR="0037691D" w:rsidRDefault="0068374F">
            <w:pPr>
              <w:pStyle w:val="TableParagraph"/>
              <w:spacing w:line="254" w:lineRule="auto"/>
              <w:ind w:right="529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0.000</w:t>
            </w:r>
            <w:r>
              <w:rPr>
                <w:color w:val="2B3D4F"/>
                <w:spacing w:val="-13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(pure </w:t>
            </w:r>
            <w:r>
              <w:rPr>
                <w:color w:val="2B3D4F"/>
                <w:spacing w:val="-4"/>
                <w:sz w:val="18"/>
              </w:rPr>
              <w:t>GBM)</w:t>
            </w:r>
          </w:p>
        </w:tc>
        <w:tc>
          <w:tcPr>
            <w:tcW w:w="1020" w:type="dxa"/>
          </w:tcPr>
          <w:p w14:paraId="5A528BCF" w14:textId="77777777" w:rsidR="0037691D" w:rsidRDefault="0068374F">
            <w:pPr>
              <w:pStyle w:val="TableParagraph"/>
              <w:spacing w:before="196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35.64%</w:t>
            </w:r>
          </w:p>
        </w:tc>
        <w:tc>
          <w:tcPr>
            <w:tcW w:w="1417" w:type="dxa"/>
          </w:tcPr>
          <w:p w14:paraId="5A528BD0" w14:textId="77777777" w:rsidR="0037691D" w:rsidRDefault="0068374F">
            <w:pPr>
              <w:pStyle w:val="TableParagraph"/>
              <w:spacing w:before="196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$138,070</w:t>
            </w:r>
          </w:p>
        </w:tc>
        <w:tc>
          <w:tcPr>
            <w:tcW w:w="1587" w:type="dxa"/>
          </w:tcPr>
          <w:p w14:paraId="5A528BD1" w14:textId="77777777" w:rsidR="0037691D" w:rsidRDefault="0068374F">
            <w:pPr>
              <w:pStyle w:val="TableParagraph"/>
              <w:spacing w:before="196"/>
              <w:ind w:left="1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$207,105</w:t>
            </w:r>
          </w:p>
        </w:tc>
        <w:tc>
          <w:tcPr>
            <w:tcW w:w="1417" w:type="dxa"/>
          </w:tcPr>
          <w:p w14:paraId="5A528BD2" w14:textId="77777777" w:rsidR="0037691D" w:rsidRDefault="0068374F">
            <w:pPr>
              <w:pStyle w:val="TableParagraph"/>
              <w:spacing w:before="196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17.26%</w:t>
            </w:r>
          </w:p>
        </w:tc>
        <w:tc>
          <w:tcPr>
            <w:tcW w:w="1871" w:type="dxa"/>
          </w:tcPr>
          <w:p w14:paraId="5A528BD3" w14:textId="77777777" w:rsidR="0037691D" w:rsidRDefault="0068374F">
            <w:pPr>
              <w:pStyle w:val="TableParagraph"/>
              <w:spacing w:before="196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$545,557</w:t>
            </w:r>
          </w:p>
        </w:tc>
      </w:tr>
      <w:tr w:rsidR="0037691D" w14:paraId="5A528BDB" w14:textId="77777777">
        <w:trPr>
          <w:trHeight w:val="370"/>
        </w:trPr>
        <w:tc>
          <w:tcPr>
            <w:tcW w:w="1587" w:type="dxa"/>
            <w:shd w:val="clear" w:color="auto" w:fill="F7F9F9"/>
          </w:tcPr>
          <w:p w14:paraId="5A528BD5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0.080</w:t>
            </w:r>
          </w:p>
        </w:tc>
        <w:tc>
          <w:tcPr>
            <w:tcW w:w="1020" w:type="dxa"/>
            <w:shd w:val="clear" w:color="auto" w:fill="F7F9F9"/>
          </w:tcPr>
          <w:p w14:paraId="5A528BD6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7.57%</w:t>
            </w:r>
          </w:p>
        </w:tc>
        <w:tc>
          <w:tcPr>
            <w:tcW w:w="1417" w:type="dxa"/>
            <w:shd w:val="clear" w:color="auto" w:fill="F7F9F9"/>
          </w:tcPr>
          <w:p w14:paraId="5A528BD7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$12,758</w:t>
            </w:r>
          </w:p>
        </w:tc>
        <w:tc>
          <w:tcPr>
            <w:tcW w:w="1587" w:type="dxa"/>
            <w:shd w:val="clear" w:color="auto" w:fill="F7F9F9"/>
          </w:tcPr>
          <w:p w14:paraId="5A528BD8" w14:textId="77777777" w:rsidR="0037691D" w:rsidRDefault="0068374F">
            <w:pPr>
              <w:pStyle w:val="TableParagraph"/>
              <w:ind w:left="1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$19,137</w:t>
            </w:r>
          </w:p>
        </w:tc>
        <w:tc>
          <w:tcPr>
            <w:tcW w:w="1417" w:type="dxa"/>
            <w:shd w:val="clear" w:color="auto" w:fill="F7F9F9"/>
          </w:tcPr>
          <w:p w14:paraId="5A528BD9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1.59%</w:t>
            </w:r>
          </w:p>
        </w:tc>
        <w:tc>
          <w:tcPr>
            <w:tcW w:w="1871" w:type="dxa"/>
            <w:shd w:val="clear" w:color="auto" w:fill="F7F9F9"/>
          </w:tcPr>
          <w:p w14:paraId="5A528BDA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$1,221,844</w:t>
            </w:r>
          </w:p>
        </w:tc>
      </w:tr>
      <w:tr w:rsidR="0037691D" w14:paraId="5A528BE2" w14:textId="77777777">
        <w:trPr>
          <w:trHeight w:val="370"/>
        </w:trPr>
        <w:tc>
          <w:tcPr>
            <w:tcW w:w="1587" w:type="dxa"/>
          </w:tcPr>
          <w:p w14:paraId="5A528BDC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0.120</w:t>
            </w:r>
          </w:p>
        </w:tc>
        <w:tc>
          <w:tcPr>
            <w:tcW w:w="1020" w:type="dxa"/>
          </w:tcPr>
          <w:p w14:paraId="5A528BDD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4.22%</w:t>
            </w:r>
          </w:p>
        </w:tc>
        <w:tc>
          <w:tcPr>
            <w:tcW w:w="1417" w:type="dxa"/>
          </w:tcPr>
          <w:p w14:paraId="5A528BDE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$5,919</w:t>
            </w:r>
          </w:p>
        </w:tc>
        <w:tc>
          <w:tcPr>
            <w:tcW w:w="1587" w:type="dxa"/>
          </w:tcPr>
          <w:p w14:paraId="5A528BDF" w14:textId="77777777" w:rsidR="0037691D" w:rsidRDefault="0068374F">
            <w:pPr>
              <w:pStyle w:val="TableParagraph"/>
              <w:ind w:left="1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$8,879</w:t>
            </w:r>
          </w:p>
        </w:tc>
        <w:tc>
          <w:tcPr>
            <w:tcW w:w="1417" w:type="dxa"/>
          </w:tcPr>
          <w:p w14:paraId="5A528BE0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0.74%</w:t>
            </w:r>
          </w:p>
        </w:tc>
        <w:tc>
          <w:tcPr>
            <w:tcW w:w="1871" w:type="dxa"/>
          </w:tcPr>
          <w:p w14:paraId="5A528BE1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$1,314,848</w:t>
            </w:r>
          </w:p>
        </w:tc>
      </w:tr>
      <w:tr w:rsidR="0037691D" w14:paraId="5A528BE9" w14:textId="77777777">
        <w:trPr>
          <w:trHeight w:val="370"/>
        </w:trPr>
        <w:tc>
          <w:tcPr>
            <w:tcW w:w="1587" w:type="dxa"/>
            <w:shd w:val="clear" w:color="auto" w:fill="F7F9F9"/>
          </w:tcPr>
          <w:p w14:paraId="5A528BE3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0.163 </w:t>
            </w:r>
            <w:r>
              <w:rPr>
                <w:color w:val="2B3D4F"/>
                <w:spacing w:val="-2"/>
                <w:sz w:val="18"/>
              </w:rPr>
              <w:t>(base)</w:t>
            </w:r>
          </w:p>
        </w:tc>
        <w:tc>
          <w:tcPr>
            <w:tcW w:w="1020" w:type="dxa"/>
            <w:shd w:val="clear" w:color="auto" w:fill="F7F9F9"/>
          </w:tcPr>
          <w:p w14:paraId="5A528BE4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2.75%</w:t>
            </w:r>
          </w:p>
        </w:tc>
        <w:tc>
          <w:tcPr>
            <w:tcW w:w="1417" w:type="dxa"/>
            <w:shd w:val="clear" w:color="auto" w:fill="F7F9F9"/>
          </w:tcPr>
          <w:p w14:paraId="5A528BE5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$3,242</w:t>
            </w:r>
          </w:p>
        </w:tc>
        <w:tc>
          <w:tcPr>
            <w:tcW w:w="1587" w:type="dxa"/>
            <w:shd w:val="clear" w:color="auto" w:fill="F7F9F9"/>
          </w:tcPr>
          <w:p w14:paraId="5A528BE6" w14:textId="77777777" w:rsidR="0037691D" w:rsidRDefault="0068374F">
            <w:pPr>
              <w:pStyle w:val="TableParagraph"/>
              <w:ind w:left="1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$4,863</w:t>
            </w:r>
          </w:p>
        </w:tc>
        <w:tc>
          <w:tcPr>
            <w:tcW w:w="1417" w:type="dxa"/>
            <w:shd w:val="clear" w:color="auto" w:fill="F7F9F9"/>
          </w:tcPr>
          <w:p w14:paraId="5A528BE7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0.41%</w:t>
            </w:r>
          </w:p>
        </w:tc>
        <w:tc>
          <w:tcPr>
            <w:tcW w:w="1871" w:type="dxa"/>
            <w:shd w:val="clear" w:color="auto" w:fill="F7F9F9"/>
          </w:tcPr>
          <w:p w14:paraId="5A528BE8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$1,357,825</w:t>
            </w:r>
          </w:p>
        </w:tc>
      </w:tr>
      <w:tr w:rsidR="0037691D" w14:paraId="5A528BF0" w14:textId="77777777">
        <w:trPr>
          <w:trHeight w:val="370"/>
        </w:trPr>
        <w:tc>
          <w:tcPr>
            <w:tcW w:w="1587" w:type="dxa"/>
          </w:tcPr>
          <w:p w14:paraId="5A528BEA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0.200</w:t>
            </w:r>
          </w:p>
        </w:tc>
        <w:tc>
          <w:tcPr>
            <w:tcW w:w="1020" w:type="dxa"/>
          </w:tcPr>
          <w:p w14:paraId="5A528BEB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2.06%</w:t>
            </w:r>
          </w:p>
        </w:tc>
        <w:tc>
          <w:tcPr>
            <w:tcW w:w="1417" w:type="dxa"/>
          </w:tcPr>
          <w:p w14:paraId="5A528BEC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$2,207</w:t>
            </w:r>
          </w:p>
        </w:tc>
        <w:tc>
          <w:tcPr>
            <w:tcW w:w="1587" w:type="dxa"/>
          </w:tcPr>
          <w:p w14:paraId="5A528BED" w14:textId="77777777" w:rsidR="0037691D" w:rsidRDefault="0068374F">
            <w:pPr>
              <w:pStyle w:val="TableParagraph"/>
              <w:ind w:left="1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$3,311</w:t>
            </w:r>
          </w:p>
        </w:tc>
        <w:tc>
          <w:tcPr>
            <w:tcW w:w="1417" w:type="dxa"/>
          </w:tcPr>
          <w:p w14:paraId="5A528BEE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0.28%</w:t>
            </w:r>
          </w:p>
        </w:tc>
        <w:tc>
          <w:tcPr>
            <w:tcW w:w="1871" w:type="dxa"/>
          </w:tcPr>
          <w:p w14:paraId="5A528BEF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$1,379,099</w:t>
            </w:r>
          </w:p>
        </w:tc>
      </w:tr>
      <w:tr w:rsidR="0037691D" w14:paraId="5A528BF7" w14:textId="77777777">
        <w:trPr>
          <w:trHeight w:val="370"/>
        </w:trPr>
        <w:tc>
          <w:tcPr>
            <w:tcW w:w="1587" w:type="dxa"/>
            <w:shd w:val="clear" w:color="auto" w:fill="F7F9F9"/>
          </w:tcPr>
          <w:p w14:paraId="5A528BF1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0.300</w:t>
            </w:r>
          </w:p>
        </w:tc>
        <w:tc>
          <w:tcPr>
            <w:tcW w:w="1020" w:type="dxa"/>
            <w:shd w:val="clear" w:color="auto" w:fill="F7F9F9"/>
          </w:tcPr>
          <w:p w14:paraId="5A528BF2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1.35%</w:t>
            </w:r>
          </w:p>
        </w:tc>
        <w:tc>
          <w:tcPr>
            <w:tcW w:w="1417" w:type="dxa"/>
            <w:shd w:val="clear" w:color="auto" w:fill="F7F9F9"/>
          </w:tcPr>
          <w:p w14:paraId="5A528BF3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$1,243</w:t>
            </w:r>
          </w:p>
        </w:tc>
        <w:tc>
          <w:tcPr>
            <w:tcW w:w="1587" w:type="dxa"/>
            <w:shd w:val="clear" w:color="auto" w:fill="F7F9F9"/>
          </w:tcPr>
          <w:p w14:paraId="5A528BF4" w14:textId="77777777" w:rsidR="0037691D" w:rsidRDefault="0068374F">
            <w:pPr>
              <w:pStyle w:val="TableParagraph"/>
              <w:ind w:left="1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$1,865</w:t>
            </w:r>
          </w:p>
        </w:tc>
        <w:tc>
          <w:tcPr>
            <w:tcW w:w="1417" w:type="dxa"/>
            <w:shd w:val="clear" w:color="auto" w:fill="F7F9F9"/>
          </w:tcPr>
          <w:p w14:paraId="5A528BF5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0.16%</w:t>
            </w:r>
          </w:p>
        </w:tc>
        <w:tc>
          <w:tcPr>
            <w:tcW w:w="1871" w:type="dxa"/>
            <w:shd w:val="clear" w:color="auto" w:fill="F7F9F9"/>
          </w:tcPr>
          <w:p w14:paraId="5A528BF6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$1,411,639</w:t>
            </w:r>
          </w:p>
        </w:tc>
      </w:tr>
    </w:tbl>
    <w:p w14:paraId="5A528BF8" w14:textId="77777777" w:rsidR="0037691D" w:rsidRDefault="0068374F">
      <w:pPr>
        <w:pStyle w:val="BodyText"/>
        <w:spacing w:before="164" w:line="283" w:lineRule="auto"/>
        <w:ind w:right="259"/>
      </w:pPr>
      <w:r>
        <w:rPr>
          <w:b/>
          <w:color w:val="2B3D4F"/>
        </w:rPr>
        <w:t xml:space="preserve">Interpretation. </w:t>
      </w:r>
      <w:r>
        <w:rPr>
          <w:color w:val="2B3D4F"/>
        </w:rPr>
        <w:t xml:space="preserve">At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= 0 (pure GBM) PoC is 35.6% — an order of magnitude higher than the Optimised base. As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rises, long-run deviations from trend are corrected faster, which tightens the tail of the surplus distribution. The Optimised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>= 0.163 sits in the "weak reversion" regime consistent with academic estimates for index-level series — strong enough to materially reduce the tail, but not so strong as to dominate short-run GBM behaviour.</w:t>
      </w:r>
    </w:p>
    <w:p w14:paraId="5A528BF9" w14:textId="77777777" w:rsidR="0037691D" w:rsidRDefault="0037691D">
      <w:pPr>
        <w:pStyle w:val="BodyText"/>
        <w:spacing w:line="283" w:lineRule="auto"/>
        <w:sectPr w:rsidR="0037691D">
          <w:pgSz w:w="11910" w:h="16840"/>
          <w:pgMar w:top="1440" w:right="1275" w:bottom="820" w:left="1275" w:header="0" w:footer="625" w:gutter="0"/>
          <w:cols w:space="720"/>
        </w:sectPr>
      </w:pPr>
    </w:p>
    <w:p w14:paraId="5A528BFA" w14:textId="77777777" w:rsidR="0037691D" w:rsidRDefault="0068374F">
      <w:pPr>
        <w:spacing w:before="77"/>
        <w:ind w:left="262"/>
        <w:jc w:val="both"/>
        <w:rPr>
          <w:rFonts w:ascii="Symbol" w:hAnsi="Symbol"/>
          <w:sz w:val="36"/>
        </w:rPr>
      </w:pPr>
      <w:r>
        <w:rPr>
          <w:b/>
          <w:color w:val="2B3D4F"/>
          <w:sz w:val="36"/>
        </w:rPr>
        <w:lastRenderedPageBreak/>
        <w:t xml:space="preserve">Sensitivity to Equity Drift </w:t>
      </w:r>
      <w:r>
        <w:rPr>
          <w:rFonts w:ascii="Symbol" w:hAnsi="Symbol"/>
          <w:color w:val="2B3D4F"/>
          <w:sz w:val="36"/>
        </w:rPr>
        <w:t></w:t>
      </w:r>
      <w:r>
        <w:rPr>
          <w:rFonts w:ascii="Times New Roman" w:hAnsi="Times New Roman"/>
          <w:color w:val="2B3D4F"/>
          <w:spacing w:val="10"/>
          <w:sz w:val="36"/>
        </w:rPr>
        <w:t xml:space="preserve"> </w:t>
      </w:r>
      <w:r>
        <w:rPr>
          <w:b/>
          <w:color w:val="2B3D4F"/>
          <w:sz w:val="36"/>
        </w:rPr>
        <w:t xml:space="preserve">and Volatility </w:t>
      </w:r>
      <w:r>
        <w:rPr>
          <w:rFonts w:ascii="Symbol" w:hAnsi="Symbol"/>
          <w:color w:val="2B3D4F"/>
          <w:spacing w:val="-10"/>
          <w:sz w:val="36"/>
        </w:rPr>
        <w:t></w:t>
      </w:r>
    </w:p>
    <w:p w14:paraId="5A528BFB" w14:textId="77777777" w:rsidR="0037691D" w:rsidRDefault="0068374F">
      <w:pPr>
        <w:pStyle w:val="BodyText"/>
        <w:spacing w:before="70"/>
        <w:ind w:left="0"/>
        <w:jc w:val="left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487590400" behindDoc="1" locked="0" layoutInCell="1" allowOverlap="1" wp14:anchorId="5A528C65" wp14:editId="5A528C66">
            <wp:simplePos x="0" y="0"/>
            <wp:positionH relativeFrom="page">
              <wp:posOffset>860987</wp:posOffset>
            </wp:positionH>
            <wp:positionV relativeFrom="paragraph">
              <wp:posOffset>215535</wp:posOffset>
            </wp:positionV>
            <wp:extent cx="5786485" cy="271633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485" cy="271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28BFC" w14:textId="77777777" w:rsidR="0037691D" w:rsidRDefault="0068374F">
      <w:pPr>
        <w:pStyle w:val="BodyText"/>
        <w:spacing w:before="145" w:line="278" w:lineRule="auto"/>
        <w:ind w:right="259"/>
      </w:pPr>
      <w:r>
        <w:rPr>
          <w:rFonts w:ascii="Symbol" w:hAnsi="Symbol"/>
          <w:color w:val="2B3D4F"/>
        </w:rPr>
        <w:t>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is the dominant driver of PoC. Every 1pp reduction in </w:t>
      </w:r>
      <w:r>
        <w:rPr>
          <w:rFonts w:ascii="Symbol" w:hAnsi="Symbol"/>
          <w:color w:val="2B3D4F"/>
        </w:rPr>
        <w:t>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raises PoC approximately 3–5pp at this parameter set. </w:t>
      </w:r>
      <w:r>
        <w:rPr>
          <w:rFonts w:ascii="Symbol" w:hAnsi="Symbol"/>
          <w:color w:val="2B3D4F"/>
        </w:rPr>
        <w:t>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is secondary — moving </w:t>
      </w:r>
      <w:r>
        <w:rPr>
          <w:rFonts w:ascii="Symbol" w:hAnsi="Symbol"/>
          <w:color w:val="2B3D4F"/>
        </w:rPr>
        <w:t>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>across its empirical range from 12% to 25% moves PoC from 1.59% to 5.63%. The index collar floor (</w:t>
      </w:r>
      <w:r>
        <w:rPr>
          <w:rFonts w:ascii="Symbol" w:hAnsi="Symbol"/>
          <w:color w:val="2B3D4F"/>
        </w:rPr>
        <w:t></w:t>
      </w:r>
      <w:r>
        <w:rPr>
          <w:color w:val="2B3D4F"/>
        </w:rPr>
        <w:t xml:space="preserve">20% per year) materially caps the impact of </w:t>
      </w:r>
      <w:r>
        <w:rPr>
          <w:rFonts w:ascii="Symbol" w:hAnsi="Symbol"/>
          <w:color w:val="2B3D4F"/>
        </w:rPr>
        <w:t></w:t>
      </w:r>
      <w:r>
        <w:rPr>
          <w:color w:val="2B3D4F"/>
        </w:rPr>
        <w:t>, which would otherwise be a first-order driver.</w:t>
      </w:r>
    </w:p>
    <w:p w14:paraId="5A528BFD" w14:textId="77777777" w:rsidR="0037691D" w:rsidRDefault="0037691D">
      <w:pPr>
        <w:pStyle w:val="BodyText"/>
        <w:spacing w:before="54"/>
        <w:ind w:left="0"/>
        <w:jc w:val="left"/>
      </w:pPr>
    </w:p>
    <w:p w14:paraId="5A528BFE" w14:textId="77777777" w:rsidR="0037691D" w:rsidRDefault="0068374F">
      <w:pPr>
        <w:ind w:left="262"/>
        <w:jc w:val="both"/>
        <w:rPr>
          <w:b/>
          <w:sz w:val="28"/>
        </w:rPr>
      </w:pPr>
      <w:r>
        <w:rPr>
          <w:rFonts w:ascii="Symbol" w:hAnsi="Symbol"/>
          <w:color w:val="3497A8"/>
          <w:sz w:val="28"/>
        </w:rPr>
        <w:t></w:t>
      </w:r>
      <w:r>
        <w:rPr>
          <w:rFonts w:ascii="Times New Roman" w:hAnsi="Times New Roman"/>
          <w:color w:val="3497A8"/>
          <w:spacing w:val="7"/>
          <w:sz w:val="28"/>
        </w:rPr>
        <w:t xml:space="preserve"> </w:t>
      </w:r>
      <w:r>
        <w:rPr>
          <w:b/>
          <w:color w:val="3497A8"/>
          <w:spacing w:val="-2"/>
          <w:sz w:val="28"/>
        </w:rPr>
        <w:t>sensitivity</w:t>
      </w:r>
    </w:p>
    <w:p w14:paraId="5A528BFF" w14:textId="77777777" w:rsidR="0037691D" w:rsidRDefault="0037691D">
      <w:pPr>
        <w:pStyle w:val="BodyText"/>
        <w:spacing w:before="11"/>
        <w:ind w:left="0"/>
        <w:jc w:val="left"/>
        <w:rPr>
          <w:b/>
          <w:sz w:val="15"/>
        </w:rPr>
      </w:pPr>
    </w:p>
    <w:tbl>
      <w:tblPr>
        <w:tblW w:w="0" w:type="auto"/>
        <w:tblInd w:w="544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247"/>
        <w:gridCol w:w="1587"/>
        <w:gridCol w:w="1700"/>
        <w:gridCol w:w="2154"/>
      </w:tblGrid>
      <w:tr w:rsidR="0037691D" w14:paraId="5A528C05" w14:textId="77777777">
        <w:trPr>
          <w:trHeight w:val="370"/>
        </w:trPr>
        <w:tc>
          <w:tcPr>
            <w:tcW w:w="1587" w:type="dxa"/>
            <w:shd w:val="clear" w:color="auto" w:fill="2B3D4F"/>
          </w:tcPr>
          <w:p w14:paraId="5A528C00" w14:textId="77777777" w:rsidR="0037691D" w:rsidRDefault="0068374F">
            <w:pPr>
              <w:pStyle w:val="TableParagraph"/>
              <w:spacing w:before="74"/>
              <w:jc w:val="left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FFFFFF"/>
                <w:spacing w:val="-10"/>
                <w:sz w:val="18"/>
              </w:rPr>
              <w:t></w:t>
            </w:r>
          </w:p>
        </w:tc>
        <w:tc>
          <w:tcPr>
            <w:tcW w:w="1247" w:type="dxa"/>
            <w:shd w:val="clear" w:color="auto" w:fill="2B3D4F"/>
          </w:tcPr>
          <w:p w14:paraId="5A528C01" w14:textId="77777777" w:rsidR="0037691D" w:rsidRDefault="0068374F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PoC</w:t>
            </w:r>
          </w:p>
        </w:tc>
        <w:tc>
          <w:tcPr>
            <w:tcW w:w="1587" w:type="dxa"/>
            <w:shd w:val="clear" w:color="auto" w:fill="2B3D4F"/>
          </w:tcPr>
          <w:p w14:paraId="5A528C02" w14:textId="77777777" w:rsidR="0037691D" w:rsidRDefault="0068374F">
            <w:pPr>
              <w:pStyle w:val="TableParagraph"/>
              <w:ind w:left="12" w:right="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LMI </w:t>
            </w:r>
            <w:r>
              <w:rPr>
                <w:b/>
                <w:color w:val="FFFFFF"/>
                <w:spacing w:val="-4"/>
                <w:sz w:val="18"/>
              </w:rPr>
              <w:t>fair</w:t>
            </w:r>
          </w:p>
        </w:tc>
        <w:tc>
          <w:tcPr>
            <w:tcW w:w="1700" w:type="dxa"/>
            <w:shd w:val="clear" w:color="auto" w:fill="2B3D4F"/>
          </w:tcPr>
          <w:p w14:paraId="5A528C03" w14:textId="77777777" w:rsidR="0037691D" w:rsidRDefault="0068374F">
            <w:pPr>
              <w:pStyle w:val="TableParagraph"/>
              <w:ind w:left="13" w:right="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LMI </w:t>
            </w:r>
            <w:r>
              <w:rPr>
                <w:b/>
                <w:color w:val="FFFFFF"/>
                <w:spacing w:val="-2"/>
                <w:sz w:val="18"/>
              </w:rPr>
              <w:t>loaded</w:t>
            </w:r>
          </w:p>
        </w:tc>
        <w:tc>
          <w:tcPr>
            <w:tcW w:w="2154" w:type="dxa"/>
            <w:shd w:val="clear" w:color="auto" w:fill="2B3D4F"/>
          </w:tcPr>
          <w:p w14:paraId="5A528C04" w14:textId="77777777" w:rsidR="0037691D" w:rsidRDefault="0068374F">
            <w:pPr>
              <w:pStyle w:val="TableParagraph"/>
              <w:ind w:left="14" w:right="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Mean </w:t>
            </w:r>
            <w:r>
              <w:rPr>
                <w:b/>
                <w:color w:val="FFFFFF"/>
                <w:spacing w:val="-2"/>
                <w:sz w:val="18"/>
              </w:rPr>
              <w:t>surplus</w:t>
            </w:r>
          </w:p>
        </w:tc>
      </w:tr>
      <w:tr w:rsidR="0037691D" w14:paraId="5A528C0B" w14:textId="77777777">
        <w:trPr>
          <w:trHeight w:val="370"/>
        </w:trPr>
        <w:tc>
          <w:tcPr>
            <w:tcW w:w="1587" w:type="dxa"/>
          </w:tcPr>
          <w:p w14:paraId="5A528C06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6.0%</w:t>
            </w:r>
          </w:p>
        </w:tc>
        <w:tc>
          <w:tcPr>
            <w:tcW w:w="1247" w:type="dxa"/>
          </w:tcPr>
          <w:p w14:paraId="5A528C07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69.37%</w:t>
            </w:r>
          </w:p>
        </w:tc>
        <w:tc>
          <w:tcPr>
            <w:tcW w:w="1587" w:type="dxa"/>
          </w:tcPr>
          <w:p w14:paraId="5A528C08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$175,059</w:t>
            </w:r>
          </w:p>
        </w:tc>
        <w:tc>
          <w:tcPr>
            <w:tcW w:w="1700" w:type="dxa"/>
          </w:tcPr>
          <w:p w14:paraId="5A528C09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$262,588</w:t>
            </w:r>
          </w:p>
        </w:tc>
        <w:tc>
          <w:tcPr>
            <w:tcW w:w="2154" w:type="dxa"/>
          </w:tcPr>
          <w:p w14:paraId="5A528C0A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251,089</w:t>
            </w:r>
          </w:p>
        </w:tc>
      </w:tr>
      <w:tr w:rsidR="0037691D" w14:paraId="5A528C11" w14:textId="77777777">
        <w:trPr>
          <w:trHeight w:val="370"/>
        </w:trPr>
        <w:tc>
          <w:tcPr>
            <w:tcW w:w="1587" w:type="dxa"/>
            <w:shd w:val="clear" w:color="auto" w:fill="F7F9F9"/>
          </w:tcPr>
          <w:p w14:paraId="5A528C0C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7.5%</w:t>
            </w:r>
          </w:p>
        </w:tc>
        <w:tc>
          <w:tcPr>
            <w:tcW w:w="1247" w:type="dxa"/>
            <w:shd w:val="clear" w:color="auto" w:fill="F7F9F9"/>
          </w:tcPr>
          <w:p w14:paraId="5A528C0D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27.25%</w:t>
            </w:r>
          </w:p>
        </w:tc>
        <w:tc>
          <w:tcPr>
            <w:tcW w:w="1587" w:type="dxa"/>
            <w:shd w:val="clear" w:color="auto" w:fill="F7F9F9"/>
          </w:tcPr>
          <w:p w14:paraId="5A528C0E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$44,892</w:t>
            </w:r>
          </w:p>
        </w:tc>
        <w:tc>
          <w:tcPr>
            <w:tcW w:w="1700" w:type="dxa"/>
            <w:shd w:val="clear" w:color="auto" w:fill="F7F9F9"/>
          </w:tcPr>
          <w:p w14:paraId="5A528C0F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$67,339</w:t>
            </w:r>
          </w:p>
        </w:tc>
        <w:tc>
          <w:tcPr>
            <w:tcW w:w="2154" w:type="dxa"/>
            <w:shd w:val="clear" w:color="auto" w:fill="F7F9F9"/>
          </w:tcPr>
          <w:p w14:paraId="5A528C10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$404,289</w:t>
            </w:r>
          </w:p>
        </w:tc>
      </w:tr>
      <w:tr w:rsidR="0037691D" w14:paraId="5A528C17" w14:textId="77777777">
        <w:trPr>
          <w:trHeight w:val="370"/>
        </w:trPr>
        <w:tc>
          <w:tcPr>
            <w:tcW w:w="1587" w:type="dxa"/>
          </w:tcPr>
          <w:p w14:paraId="5A528C12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9.2% </w:t>
            </w:r>
            <w:r>
              <w:rPr>
                <w:color w:val="2B3D4F"/>
                <w:spacing w:val="-2"/>
                <w:sz w:val="18"/>
              </w:rPr>
              <w:t>(base)</w:t>
            </w:r>
          </w:p>
        </w:tc>
        <w:tc>
          <w:tcPr>
            <w:tcW w:w="1247" w:type="dxa"/>
          </w:tcPr>
          <w:p w14:paraId="5A528C13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2.75%</w:t>
            </w:r>
          </w:p>
        </w:tc>
        <w:tc>
          <w:tcPr>
            <w:tcW w:w="1587" w:type="dxa"/>
          </w:tcPr>
          <w:p w14:paraId="5A528C14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$3,242</w:t>
            </w:r>
          </w:p>
        </w:tc>
        <w:tc>
          <w:tcPr>
            <w:tcW w:w="1700" w:type="dxa"/>
          </w:tcPr>
          <w:p w14:paraId="5A528C15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$4,863</w:t>
            </w:r>
          </w:p>
        </w:tc>
        <w:tc>
          <w:tcPr>
            <w:tcW w:w="2154" w:type="dxa"/>
          </w:tcPr>
          <w:p w14:paraId="5A528C16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$1,553,535</w:t>
            </w:r>
          </w:p>
        </w:tc>
      </w:tr>
      <w:tr w:rsidR="0037691D" w14:paraId="5A528C1D" w14:textId="77777777">
        <w:trPr>
          <w:trHeight w:val="370"/>
        </w:trPr>
        <w:tc>
          <w:tcPr>
            <w:tcW w:w="1587" w:type="dxa"/>
            <w:shd w:val="clear" w:color="auto" w:fill="F7F9F9"/>
          </w:tcPr>
          <w:p w14:paraId="5A528C18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10.5%</w:t>
            </w:r>
          </w:p>
        </w:tc>
        <w:tc>
          <w:tcPr>
            <w:tcW w:w="1247" w:type="dxa"/>
            <w:shd w:val="clear" w:color="auto" w:fill="F7F9F9"/>
          </w:tcPr>
          <w:p w14:paraId="5A528C19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0.17%</w:t>
            </w:r>
          </w:p>
        </w:tc>
        <w:tc>
          <w:tcPr>
            <w:tcW w:w="1587" w:type="dxa"/>
            <w:shd w:val="clear" w:color="auto" w:fill="F7F9F9"/>
          </w:tcPr>
          <w:p w14:paraId="5A528C1A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$160</w:t>
            </w:r>
          </w:p>
        </w:tc>
        <w:tc>
          <w:tcPr>
            <w:tcW w:w="1700" w:type="dxa"/>
            <w:shd w:val="clear" w:color="auto" w:fill="F7F9F9"/>
          </w:tcPr>
          <w:p w14:paraId="5A528C1B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$239</w:t>
            </w:r>
          </w:p>
        </w:tc>
        <w:tc>
          <w:tcPr>
            <w:tcW w:w="2154" w:type="dxa"/>
            <w:shd w:val="clear" w:color="auto" w:fill="F7F9F9"/>
          </w:tcPr>
          <w:p w14:paraId="5A528C1C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$3,021,873</w:t>
            </w:r>
          </w:p>
        </w:tc>
      </w:tr>
      <w:tr w:rsidR="0037691D" w14:paraId="5A528C23" w14:textId="77777777">
        <w:trPr>
          <w:trHeight w:val="370"/>
        </w:trPr>
        <w:tc>
          <w:tcPr>
            <w:tcW w:w="1587" w:type="dxa"/>
          </w:tcPr>
          <w:p w14:paraId="5A528C1E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12.0%</w:t>
            </w:r>
          </w:p>
        </w:tc>
        <w:tc>
          <w:tcPr>
            <w:tcW w:w="1247" w:type="dxa"/>
          </w:tcPr>
          <w:p w14:paraId="5A528C1F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0.00%</w:t>
            </w:r>
          </w:p>
        </w:tc>
        <w:tc>
          <w:tcPr>
            <w:tcW w:w="1587" w:type="dxa"/>
          </w:tcPr>
          <w:p w14:paraId="5A528C20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$4</w:t>
            </w:r>
          </w:p>
        </w:tc>
        <w:tc>
          <w:tcPr>
            <w:tcW w:w="1700" w:type="dxa"/>
          </w:tcPr>
          <w:p w14:paraId="5A528C21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$6</w:t>
            </w:r>
          </w:p>
        </w:tc>
        <w:tc>
          <w:tcPr>
            <w:tcW w:w="2154" w:type="dxa"/>
          </w:tcPr>
          <w:p w14:paraId="5A528C22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$5,727,950</w:t>
            </w:r>
          </w:p>
        </w:tc>
      </w:tr>
    </w:tbl>
    <w:p w14:paraId="5A528C24" w14:textId="77777777" w:rsidR="0037691D" w:rsidRDefault="0068374F">
      <w:pPr>
        <w:spacing w:before="277"/>
        <w:ind w:left="262"/>
        <w:jc w:val="both"/>
        <w:rPr>
          <w:b/>
          <w:sz w:val="28"/>
        </w:rPr>
      </w:pPr>
      <w:r>
        <w:rPr>
          <w:rFonts w:ascii="Symbol" w:hAnsi="Symbol"/>
          <w:color w:val="3497A8"/>
          <w:sz w:val="28"/>
        </w:rPr>
        <w:t></w:t>
      </w:r>
      <w:r>
        <w:rPr>
          <w:rFonts w:ascii="Times New Roman" w:hAnsi="Times New Roman"/>
          <w:color w:val="3497A8"/>
          <w:spacing w:val="7"/>
          <w:sz w:val="28"/>
        </w:rPr>
        <w:t xml:space="preserve"> </w:t>
      </w:r>
      <w:r>
        <w:rPr>
          <w:b/>
          <w:color w:val="3497A8"/>
          <w:spacing w:val="-2"/>
          <w:sz w:val="28"/>
        </w:rPr>
        <w:t>sensitivity</w:t>
      </w:r>
    </w:p>
    <w:p w14:paraId="5A528C25" w14:textId="77777777" w:rsidR="0037691D" w:rsidRDefault="0037691D">
      <w:pPr>
        <w:pStyle w:val="BodyText"/>
        <w:spacing w:before="11"/>
        <w:ind w:left="0"/>
        <w:jc w:val="left"/>
        <w:rPr>
          <w:b/>
          <w:sz w:val="15"/>
        </w:rPr>
      </w:pPr>
    </w:p>
    <w:tbl>
      <w:tblPr>
        <w:tblW w:w="0" w:type="auto"/>
        <w:tblInd w:w="544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247"/>
        <w:gridCol w:w="1587"/>
        <w:gridCol w:w="1700"/>
        <w:gridCol w:w="2154"/>
      </w:tblGrid>
      <w:tr w:rsidR="0037691D" w14:paraId="5A528C2B" w14:textId="77777777">
        <w:trPr>
          <w:trHeight w:val="370"/>
        </w:trPr>
        <w:tc>
          <w:tcPr>
            <w:tcW w:w="1587" w:type="dxa"/>
            <w:shd w:val="clear" w:color="auto" w:fill="2B3D4F"/>
          </w:tcPr>
          <w:p w14:paraId="5A528C26" w14:textId="77777777" w:rsidR="0037691D" w:rsidRDefault="0068374F">
            <w:pPr>
              <w:pStyle w:val="TableParagraph"/>
              <w:spacing w:before="74"/>
              <w:jc w:val="left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FFFFFF"/>
                <w:spacing w:val="-10"/>
                <w:sz w:val="18"/>
              </w:rPr>
              <w:t></w:t>
            </w:r>
          </w:p>
        </w:tc>
        <w:tc>
          <w:tcPr>
            <w:tcW w:w="1247" w:type="dxa"/>
            <w:shd w:val="clear" w:color="auto" w:fill="2B3D4F"/>
          </w:tcPr>
          <w:p w14:paraId="5A528C27" w14:textId="77777777" w:rsidR="0037691D" w:rsidRDefault="0068374F">
            <w:pPr>
              <w:pStyle w:val="TableParagraph"/>
              <w:ind w:left="1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PoC</w:t>
            </w:r>
          </w:p>
        </w:tc>
        <w:tc>
          <w:tcPr>
            <w:tcW w:w="1587" w:type="dxa"/>
            <w:shd w:val="clear" w:color="auto" w:fill="2B3D4F"/>
          </w:tcPr>
          <w:p w14:paraId="5A528C28" w14:textId="77777777" w:rsidR="0037691D" w:rsidRDefault="0068374F">
            <w:pPr>
              <w:pStyle w:val="TableParagraph"/>
              <w:ind w:left="12" w:right="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LMI </w:t>
            </w:r>
            <w:r>
              <w:rPr>
                <w:b/>
                <w:color w:val="FFFFFF"/>
                <w:spacing w:val="-4"/>
                <w:sz w:val="18"/>
              </w:rPr>
              <w:t>fair</w:t>
            </w:r>
          </w:p>
        </w:tc>
        <w:tc>
          <w:tcPr>
            <w:tcW w:w="1700" w:type="dxa"/>
            <w:shd w:val="clear" w:color="auto" w:fill="2B3D4F"/>
          </w:tcPr>
          <w:p w14:paraId="5A528C29" w14:textId="77777777" w:rsidR="0037691D" w:rsidRDefault="0068374F">
            <w:pPr>
              <w:pStyle w:val="TableParagraph"/>
              <w:ind w:left="13" w:right="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LMI </w:t>
            </w:r>
            <w:r>
              <w:rPr>
                <w:b/>
                <w:color w:val="FFFFFF"/>
                <w:spacing w:val="-2"/>
                <w:sz w:val="18"/>
              </w:rPr>
              <w:t>loaded</w:t>
            </w:r>
          </w:p>
        </w:tc>
        <w:tc>
          <w:tcPr>
            <w:tcW w:w="2154" w:type="dxa"/>
            <w:shd w:val="clear" w:color="auto" w:fill="2B3D4F"/>
          </w:tcPr>
          <w:p w14:paraId="5A528C2A" w14:textId="77777777" w:rsidR="0037691D" w:rsidRDefault="0068374F">
            <w:pPr>
              <w:pStyle w:val="TableParagraph"/>
              <w:ind w:left="14" w:right="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Mean </w:t>
            </w:r>
            <w:r>
              <w:rPr>
                <w:b/>
                <w:color w:val="FFFFFF"/>
                <w:spacing w:val="-2"/>
                <w:sz w:val="18"/>
              </w:rPr>
              <w:t>surplus</w:t>
            </w:r>
          </w:p>
        </w:tc>
      </w:tr>
      <w:tr w:rsidR="0037691D" w14:paraId="5A528C31" w14:textId="77777777">
        <w:trPr>
          <w:trHeight w:val="370"/>
        </w:trPr>
        <w:tc>
          <w:tcPr>
            <w:tcW w:w="1587" w:type="dxa"/>
          </w:tcPr>
          <w:p w14:paraId="5A528C2C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12.0%</w:t>
            </w:r>
          </w:p>
        </w:tc>
        <w:tc>
          <w:tcPr>
            <w:tcW w:w="1247" w:type="dxa"/>
          </w:tcPr>
          <w:p w14:paraId="5A528C2D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1.59%</w:t>
            </w:r>
          </w:p>
        </w:tc>
        <w:tc>
          <w:tcPr>
            <w:tcW w:w="1587" w:type="dxa"/>
          </w:tcPr>
          <w:p w14:paraId="5A528C2E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$1,457</w:t>
            </w:r>
          </w:p>
        </w:tc>
        <w:tc>
          <w:tcPr>
            <w:tcW w:w="1700" w:type="dxa"/>
          </w:tcPr>
          <w:p w14:paraId="5A528C2F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$2,185</w:t>
            </w:r>
          </w:p>
        </w:tc>
        <w:tc>
          <w:tcPr>
            <w:tcW w:w="2154" w:type="dxa"/>
          </w:tcPr>
          <w:p w14:paraId="5A528C30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$1,388,688</w:t>
            </w:r>
          </w:p>
        </w:tc>
      </w:tr>
      <w:tr w:rsidR="0037691D" w14:paraId="5A528C37" w14:textId="77777777">
        <w:trPr>
          <w:trHeight w:val="370"/>
        </w:trPr>
        <w:tc>
          <w:tcPr>
            <w:tcW w:w="1587" w:type="dxa"/>
            <w:shd w:val="clear" w:color="auto" w:fill="F7F9F9"/>
          </w:tcPr>
          <w:p w14:paraId="5A528C32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15.0%</w:t>
            </w:r>
          </w:p>
        </w:tc>
        <w:tc>
          <w:tcPr>
            <w:tcW w:w="1247" w:type="dxa"/>
            <w:shd w:val="clear" w:color="auto" w:fill="F7F9F9"/>
          </w:tcPr>
          <w:p w14:paraId="5A528C33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2.27%</w:t>
            </w:r>
          </w:p>
        </w:tc>
        <w:tc>
          <w:tcPr>
            <w:tcW w:w="1587" w:type="dxa"/>
            <w:shd w:val="clear" w:color="auto" w:fill="F7F9F9"/>
          </w:tcPr>
          <w:p w14:paraId="5A528C34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$2,412</w:t>
            </w:r>
          </w:p>
        </w:tc>
        <w:tc>
          <w:tcPr>
            <w:tcW w:w="1700" w:type="dxa"/>
            <w:shd w:val="clear" w:color="auto" w:fill="F7F9F9"/>
          </w:tcPr>
          <w:p w14:paraId="5A528C35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$3,618</w:t>
            </w:r>
          </w:p>
        </w:tc>
        <w:tc>
          <w:tcPr>
            <w:tcW w:w="2154" w:type="dxa"/>
            <w:shd w:val="clear" w:color="auto" w:fill="F7F9F9"/>
          </w:tcPr>
          <w:p w14:paraId="5A528C36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$1,478,737</w:t>
            </w:r>
          </w:p>
        </w:tc>
      </w:tr>
      <w:tr w:rsidR="0037691D" w14:paraId="5A528C3D" w14:textId="77777777">
        <w:trPr>
          <w:trHeight w:val="370"/>
        </w:trPr>
        <w:tc>
          <w:tcPr>
            <w:tcW w:w="1587" w:type="dxa"/>
          </w:tcPr>
          <w:p w14:paraId="5A528C38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16.6% </w:t>
            </w:r>
            <w:r>
              <w:rPr>
                <w:color w:val="2B3D4F"/>
                <w:spacing w:val="-2"/>
                <w:sz w:val="18"/>
              </w:rPr>
              <w:t>(base)</w:t>
            </w:r>
          </w:p>
        </w:tc>
        <w:tc>
          <w:tcPr>
            <w:tcW w:w="1247" w:type="dxa"/>
          </w:tcPr>
          <w:p w14:paraId="5A528C39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2.75%</w:t>
            </w:r>
          </w:p>
        </w:tc>
        <w:tc>
          <w:tcPr>
            <w:tcW w:w="1587" w:type="dxa"/>
          </w:tcPr>
          <w:p w14:paraId="5A528C3A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$3,242</w:t>
            </w:r>
          </w:p>
        </w:tc>
        <w:tc>
          <w:tcPr>
            <w:tcW w:w="1700" w:type="dxa"/>
          </w:tcPr>
          <w:p w14:paraId="5A528C3B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$4,863</w:t>
            </w:r>
          </w:p>
        </w:tc>
        <w:tc>
          <w:tcPr>
            <w:tcW w:w="2154" w:type="dxa"/>
          </w:tcPr>
          <w:p w14:paraId="5A528C3C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$1,553,535</w:t>
            </w:r>
          </w:p>
        </w:tc>
      </w:tr>
      <w:tr w:rsidR="0037691D" w14:paraId="5A528C43" w14:textId="77777777">
        <w:trPr>
          <w:trHeight w:val="370"/>
        </w:trPr>
        <w:tc>
          <w:tcPr>
            <w:tcW w:w="1587" w:type="dxa"/>
            <w:shd w:val="clear" w:color="auto" w:fill="F7F9F9"/>
          </w:tcPr>
          <w:p w14:paraId="5A528C3E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20.0%</w:t>
            </w:r>
          </w:p>
        </w:tc>
        <w:tc>
          <w:tcPr>
            <w:tcW w:w="1247" w:type="dxa"/>
            <w:shd w:val="clear" w:color="auto" w:fill="F7F9F9"/>
          </w:tcPr>
          <w:p w14:paraId="5A528C3F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3.87%</w:t>
            </w:r>
          </w:p>
        </w:tc>
        <w:tc>
          <w:tcPr>
            <w:tcW w:w="1587" w:type="dxa"/>
            <w:shd w:val="clear" w:color="auto" w:fill="F7F9F9"/>
          </w:tcPr>
          <w:p w14:paraId="5A528C40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$5,730</w:t>
            </w:r>
          </w:p>
        </w:tc>
        <w:tc>
          <w:tcPr>
            <w:tcW w:w="1700" w:type="dxa"/>
            <w:shd w:val="clear" w:color="auto" w:fill="F7F9F9"/>
          </w:tcPr>
          <w:p w14:paraId="5A528C41" w14:textId="77777777" w:rsidR="0037691D" w:rsidRDefault="0068374F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$8,595</w:t>
            </w:r>
          </w:p>
        </w:tc>
        <w:tc>
          <w:tcPr>
            <w:tcW w:w="2154" w:type="dxa"/>
            <w:shd w:val="clear" w:color="auto" w:fill="F7F9F9"/>
          </w:tcPr>
          <w:p w14:paraId="5A528C42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$1,770,476</w:t>
            </w:r>
          </w:p>
        </w:tc>
      </w:tr>
      <w:tr w:rsidR="0037691D" w14:paraId="5A528C49" w14:textId="77777777">
        <w:trPr>
          <w:trHeight w:val="370"/>
        </w:trPr>
        <w:tc>
          <w:tcPr>
            <w:tcW w:w="1587" w:type="dxa"/>
          </w:tcPr>
          <w:p w14:paraId="5A528C44" w14:textId="77777777" w:rsidR="0037691D" w:rsidRDefault="0068374F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25.0%</w:t>
            </w:r>
          </w:p>
        </w:tc>
        <w:tc>
          <w:tcPr>
            <w:tcW w:w="1247" w:type="dxa"/>
          </w:tcPr>
          <w:p w14:paraId="5A528C45" w14:textId="77777777" w:rsidR="0037691D" w:rsidRDefault="0068374F">
            <w:pPr>
              <w:pStyle w:val="TableParagraph"/>
              <w:ind w:left="1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5.63%</w:t>
            </w:r>
          </w:p>
        </w:tc>
        <w:tc>
          <w:tcPr>
            <w:tcW w:w="1587" w:type="dxa"/>
          </w:tcPr>
          <w:p w14:paraId="5A528C46" w14:textId="77777777" w:rsidR="0037691D" w:rsidRDefault="0068374F">
            <w:pPr>
              <w:pStyle w:val="TableParagraph"/>
              <w:ind w:left="12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$10,480</w:t>
            </w:r>
          </w:p>
        </w:tc>
        <w:tc>
          <w:tcPr>
            <w:tcW w:w="1700" w:type="dxa"/>
          </w:tcPr>
          <w:p w14:paraId="5A528C47" w14:textId="77777777" w:rsidR="0037691D" w:rsidRDefault="0068374F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$15,720</w:t>
            </w:r>
          </w:p>
        </w:tc>
        <w:tc>
          <w:tcPr>
            <w:tcW w:w="2154" w:type="dxa"/>
          </w:tcPr>
          <w:p w14:paraId="5A528C48" w14:textId="77777777" w:rsidR="0037691D" w:rsidRDefault="0068374F">
            <w:pPr>
              <w:pStyle w:val="TableParagraph"/>
              <w:ind w:left="1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$2,267,457</w:t>
            </w:r>
          </w:p>
        </w:tc>
      </w:tr>
    </w:tbl>
    <w:p w14:paraId="5A528C4A" w14:textId="77777777" w:rsidR="0037691D" w:rsidRDefault="0037691D">
      <w:pPr>
        <w:pStyle w:val="TableParagraph"/>
        <w:rPr>
          <w:sz w:val="18"/>
        </w:rPr>
        <w:sectPr w:rsidR="0037691D">
          <w:pgSz w:w="11910" w:h="16840"/>
          <w:pgMar w:top="1440" w:right="1275" w:bottom="820" w:left="1275" w:header="0" w:footer="625" w:gutter="0"/>
          <w:cols w:space="720"/>
        </w:sectPr>
      </w:pPr>
    </w:p>
    <w:p w14:paraId="5A528C4B" w14:textId="0EA65DAD" w:rsidR="0037691D" w:rsidRPr="00831AE0" w:rsidRDefault="0068374F">
      <w:pPr>
        <w:pStyle w:val="Heading1"/>
        <w:jc w:val="left"/>
        <w:rPr>
          <w:color w:val="EE0000"/>
        </w:rPr>
      </w:pPr>
      <w:r w:rsidRPr="00831AE0">
        <w:rPr>
          <w:strike/>
          <w:color w:val="2B3D4F"/>
        </w:rPr>
        <w:lastRenderedPageBreak/>
        <w:t xml:space="preserve">Response to John De Ravin's Actuarial </w:t>
      </w:r>
      <w:r w:rsidRPr="00831AE0">
        <w:rPr>
          <w:strike/>
          <w:color w:val="2B3D4F"/>
          <w:spacing w:val="-2"/>
        </w:rPr>
        <w:t>Questions</w:t>
      </w:r>
      <w:r w:rsidR="00831AE0">
        <w:rPr>
          <w:color w:val="EE0000"/>
          <w:spacing w:val="-2"/>
        </w:rPr>
        <w:t>Is Trend-based Mean Reversion An Appropriate Model Choice?</w:t>
      </w:r>
    </w:p>
    <w:p w14:paraId="5A528C4C" w14:textId="77777777" w:rsidR="0037691D" w:rsidRPr="00831AE0" w:rsidRDefault="0068374F">
      <w:pPr>
        <w:pStyle w:val="Heading2"/>
        <w:spacing w:before="304"/>
        <w:jc w:val="left"/>
        <w:rPr>
          <w:strike/>
        </w:rPr>
      </w:pPr>
      <w:r w:rsidRPr="00831AE0">
        <w:rPr>
          <w:strike/>
          <w:color w:val="3497A8"/>
        </w:rPr>
        <w:t xml:space="preserve">Q1 — Is trend-based mean reversion an acceptable </w:t>
      </w:r>
      <w:r w:rsidRPr="00831AE0">
        <w:rPr>
          <w:strike/>
          <w:color w:val="3497A8"/>
          <w:spacing w:val="-2"/>
        </w:rPr>
        <w:t>choice?</w:t>
      </w:r>
    </w:p>
    <w:p w14:paraId="5A528C4D" w14:textId="7EFEC0F0" w:rsidR="0037691D" w:rsidRDefault="0068374F">
      <w:pPr>
        <w:pStyle w:val="BodyText"/>
        <w:spacing w:before="190" w:line="290" w:lineRule="auto"/>
        <w:ind w:right="259"/>
      </w:pPr>
      <w:r>
        <w:rPr>
          <w:color w:val="2B3D4F"/>
        </w:rPr>
        <w:t xml:space="preserve">The Shevchenko specification reverts to a deterministic trend M(t) growing at the expected return </w:t>
      </w:r>
      <w:r>
        <w:rPr>
          <w:rFonts w:ascii="Symbol" w:hAnsi="Symbol"/>
          <w:color w:val="2B3D4F"/>
        </w:rPr>
        <w:t></w:t>
      </w:r>
      <w:r>
        <w:rPr>
          <w:color w:val="2B3D4F"/>
        </w:rPr>
        <w:t xml:space="preserve">, rather than to a P/E-based valuation anchor (as used in Campbell-Shiller CAPE models). </w:t>
      </w:r>
      <w:r w:rsidRPr="008B0102">
        <w:rPr>
          <w:strike/>
          <w:color w:val="2B3D4F"/>
        </w:rPr>
        <w:t>JDR flags</w:t>
      </w:r>
      <w:r>
        <w:rPr>
          <w:color w:val="2B3D4F"/>
        </w:rPr>
        <w:t xml:space="preserve"> </w:t>
      </w:r>
      <w:r w:rsidRPr="008B0102">
        <w:rPr>
          <w:strike/>
          <w:color w:val="2B3D4F"/>
        </w:rPr>
        <w:t>that</w:t>
      </w:r>
      <w:r>
        <w:rPr>
          <w:color w:val="2B3D4F"/>
        </w:rPr>
        <w:t xml:space="preserve"> </w:t>
      </w:r>
      <w:r w:rsidR="008B0102">
        <w:rPr>
          <w:color w:val="2B3D4F"/>
        </w:rPr>
        <w:t>T</w:t>
      </w:r>
      <w:r>
        <w:rPr>
          <w:color w:val="2B3D4F"/>
        </w:rPr>
        <w:t>rend-based reversion is simpler but structurally distinct from valuation-based reversion.</w:t>
      </w:r>
    </w:p>
    <w:p w14:paraId="5A528C4E" w14:textId="77777777" w:rsidR="0037691D" w:rsidRDefault="0068374F">
      <w:pPr>
        <w:pStyle w:val="BodyText"/>
        <w:spacing w:before="170"/>
      </w:pPr>
      <w:r w:rsidRPr="008B0102">
        <w:rPr>
          <w:b/>
          <w:strike/>
          <w:color w:val="2B3D4F"/>
        </w:rPr>
        <w:t>Response:</w:t>
      </w:r>
      <w:r>
        <w:rPr>
          <w:b/>
          <w:color w:val="2B3D4F"/>
          <w:spacing w:val="17"/>
        </w:rPr>
        <w:t xml:space="preserve"> </w:t>
      </w:r>
      <w:r>
        <w:rPr>
          <w:color w:val="2B3D4F"/>
        </w:rPr>
        <w:t>Trend-based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reversion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appropriate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choice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for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an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EPM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model.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reasons</w:t>
      </w:r>
      <w:r>
        <w:rPr>
          <w:color w:val="2B3D4F"/>
          <w:spacing w:val="17"/>
        </w:rPr>
        <w:t xml:space="preserve"> </w:t>
      </w:r>
      <w:r>
        <w:rPr>
          <w:color w:val="2B3D4F"/>
          <w:spacing w:val="-4"/>
        </w:rPr>
        <w:t>are:</w:t>
      </w:r>
    </w:p>
    <w:p w14:paraId="5A528C4F" w14:textId="77777777" w:rsidR="0037691D" w:rsidRDefault="0068374F">
      <w:pPr>
        <w:pStyle w:val="BodyText"/>
        <w:spacing w:before="50" w:line="292" w:lineRule="auto"/>
        <w:ind w:right="25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A528C67" wp14:editId="5A528C68">
                <wp:simplePos x="0" y="0"/>
                <wp:positionH relativeFrom="page">
                  <wp:posOffset>1027000</wp:posOffset>
                </wp:positionH>
                <wp:positionV relativeFrom="paragraph">
                  <wp:posOffset>1834060</wp:posOffset>
                </wp:positionV>
                <wp:extent cx="5506085" cy="8636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06085" cy="8636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10159">
                          <a:solidFill>
                            <a:srgbClr val="1F608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528C74" w14:textId="24A8DF0A" w:rsidR="0037691D" w:rsidRDefault="0068374F">
                            <w:pPr>
                              <w:pStyle w:val="BodyText"/>
                              <w:spacing w:before="124" w:line="285" w:lineRule="auto"/>
                              <w:ind w:left="112"/>
                              <w:jc w:val="left"/>
                              <w:rPr>
                                <w:color w:val="000000"/>
                              </w:rPr>
                            </w:pPr>
                            <w:r w:rsidRPr="009308B1">
                              <w:rPr>
                                <w:b/>
                                <w:strike/>
                                <w:color w:val="2B3D4F"/>
                              </w:rPr>
                              <w:t>Action:</w:t>
                            </w:r>
                            <w:r w:rsidR="00F56CFB" w:rsidRPr="00F56CFB">
                              <w:rPr>
                                <w:b/>
                                <w:color w:val="EE0000"/>
                              </w:rPr>
                              <w:t>Summa</w:t>
                            </w:r>
                            <w:r w:rsidR="00F56CFB">
                              <w:rPr>
                                <w:b/>
                                <w:color w:val="EE0000"/>
                              </w:rPr>
                              <w:t>ry</w:t>
                            </w:r>
                            <w:r w:rsidR="00F56CFB">
                              <w:rPr>
                                <w:b/>
                                <w:color w:val="2B3D4F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the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model-risk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appendix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should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note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that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trend-reversion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vs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valuation-reversion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is</w:t>
                            </w:r>
                            <w:r>
                              <w:rPr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 xml:space="preserve">a structural choice with wide empirical support, and that stress testing at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</w:rPr>
                              <w:t></w:t>
                            </w:r>
                            <w:r>
                              <w:rPr>
                                <w:rFonts w:ascii="Times New Roman" w:hAnsi="Times New Roman"/>
                                <w:color w:val="2B3D4F"/>
                              </w:rPr>
                              <w:t xml:space="preserve"> </w:t>
                            </w:r>
                            <w:r>
                              <w:rPr>
                                <w:color w:val="2B3D4F"/>
                              </w:rPr>
                              <w:t>= 0 (pure GBM, no reversion) is the conservative lower bound — PoC rises to 35.6% in this extreme, and reinsurance pricing should acknowledge this tail scenario.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28C67" id="Textbox 9" o:spid="_x0000_s1028" type="#_x0000_t202" style="position:absolute;left:0;text-align:left;margin-left:80.85pt;margin-top:144.4pt;width:433.55pt;height:6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" fillcolor="#e9f2f7" strokecolor="#1f608c" strokeweight=".28219mm">
                <v:path arrowok="t"/>
                <v:textbox inset="0,0,0,0">
                  <w:txbxContent>
                    <w:p w14:paraId="5A528C74" w14:textId="24A8DF0A" w:rsidR="0037691D" w:rsidRDefault="0068374F">
                      <w:pPr>
                        <w:pStyle w:val="BodyText"/>
                        <w:spacing w:before="124" w:line="285" w:lineRule="auto"/>
                        <w:ind w:left="112"/>
                        <w:jc w:val="left"/>
                        <w:rPr>
                          <w:color w:val="000000"/>
                        </w:rPr>
                      </w:pPr>
                      <w:r w:rsidRPr="009308B1">
                        <w:rPr>
                          <w:b/>
                          <w:strike/>
                          <w:color w:val="2B3D4F"/>
                        </w:rPr>
                        <w:t>Action:</w:t>
                      </w:r>
                      <w:r w:rsidR="00F56CFB" w:rsidRPr="00F56CFB">
                        <w:rPr>
                          <w:b/>
                          <w:color w:val="EE0000"/>
                        </w:rPr>
                        <w:t>Summa</w:t>
                      </w:r>
                      <w:r w:rsidR="00F56CFB">
                        <w:rPr>
                          <w:b/>
                          <w:color w:val="EE0000"/>
                        </w:rPr>
                        <w:t>ry</w:t>
                      </w:r>
                      <w:r w:rsidR="00F56CFB">
                        <w:rPr>
                          <w:b/>
                          <w:color w:val="2B3D4F"/>
                        </w:rPr>
                        <w:t>:</w:t>
                      </w:r>
                      <w:r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the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model-risk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appendix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should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note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that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trend-reversion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vs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valuation-reversion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is</w:t>
                      </w:r>
                      <w:r>
                        <w:rPr>
                          <w:color w:val="2B3D4F"/>
                          <w:spacing w:val="-4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 xml:space="preserve">a structural choice with wide empirical support, and that stress testing at </w:t>
                      </w:r>
                      <w:r>
                        <w:rPr>
                          <w:rFonts w:ascii="Symbol" w:hAnsi="Symbol"/>
                          <w:color w:val="2B3D4F"/>
                        </w:rPr>
                        <w:t></w:t>
                      </w:r>
                      <w:r>
                        <w:rPr>
                          <w:rFonts w:ascii="Times New Roman" w:hAnsi="Times New Roman"/>
                          <w:color w:val="2B3D4F"/>
                        </w:rPr>
                        <w:t xml:space="preserve"> </w:t>
                      </w:r>
                      <w:r>
                        <w:rPr>
                          <w:color w:val="2B3D4F"/>
                        </w:rPr>
                        <w:t>= 0 (pure GBM, no reversion) is the conservative lower bound — PoC rises to 35.6% in this extreme, and reinsurance pricing should acknowledge this tail scenario.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2B3D4F"/>
        </w:rPr>
        <w:t>(1) valuation-based reversion requires forecasting both the numerator (earnings growth) and the denominator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(equilibrium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P/E)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over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30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years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—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each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of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these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itself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modelling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problem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with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wide confidence intervals; introducing this structure adds parameters that cannot be reliably estimated from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available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data.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(2)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Trend-based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reversion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captures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economically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meaningful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feature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—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that sustained deviations from long-run growth are corrected — without over-parameterising. (3) At the horizons that matter for the EPM (30 years), empirical evidence supports trend-reversion at least as strongly as valuation-reversion; the two are highly correlated in long samples. (4) Regime-switching models (a natural extension) add two to four additional parameters that cannot be identified from a single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30-year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horizon.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Trend-reversion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parsimonious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choice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with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highest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in-sample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fit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per estimated parameter.</w:t>
      </w:r>
    </w:p>
    <w:p w14:paraId="2DD27623" w14:textId="7B5A7B12" w:rsidR="00F711FF" w:rsidRPr="00831AE0" w:rsidRDefault="00F711FF" w:rsidP="00F711FF">
      <w:pPr>
        <w:pStyle w:val="Heading1"/>
        <w:jc w:val="left"/>
        <w:rPr>
          <w:color w:val="EE0000"/>
        </w:rPr>
      </w:pPr>
      <w:r w:rsidRPr="00831AE0">
        <w:rPr>
          <w:strike/>
          <w:color w:val="2B3D4F"/>
          <w:spacing w:val="-2"/>
        </w:rPr>
        <w:t>Questions</w:t>
      </w:r>
      <w:r>
        <w:rPr>
          <w:color w:val="EE0000"/>
          <w:spacing w:val="-2"/>
        </w:rPr>
        <w:t>Is k =0.163</w:t>
      </w:r>
      <w:r w:rsidR="00B5262B">
        <w:rPr>
          <w:color w:val="EE0000"/>
          <w:spacing w:val="-2"/>
        </w:rPr>
        <w:t xml:space="preserve"> Consistent With Weak Mean Reversion?</w:t>
      </w:r>
    </w:p>
    <w:p w14:paraId="5A528C50" w14:textId="77777777" w:rsidR="0037691D" w:rsidRPr="00B5262B" w:rsidRDefault="0068374F">
      <w:pPr>
        <w:spacing w:before="162"/>
        <w:ind w:left="262"/>
        <w:jc w:val="both"/>
        <w:rPr>
          <w:b/>
          <w:strike/>
          <w:sz w:val="28"/>
        </w:rPr>
      </w:pPr>
      <w:r w:rsidRPr="00B5262B">
        <w:rPr>
          <w:b/>
          <w:strike/>
          <w:color w:val="3497A8"/>
          <w:sz w:val="28"/>
        </w:rPr>
        <w:t xml:space="preserve">Q2 — Is </w:t>
      </w:r>
      <w:r w:rsidRPr="00B5262B">
        <w:rPr>
          <w:rFonts w:ascii="Symbol" w:hAnsi="Symbol"/>
          <w:strike/>
          <w:color w:val="3497A8"/>
          <w:sz w:val="28"/>
        </w:rPr>
        <w:t></w:t>
      </w:r>
      <w:r w:rsidRPr="00B5262B">
        <w:rPr>
          <w:rFonts w:ascii="Times New Roman" w:hAnsi="Times New Roman"/>
          <w:strike/>
          <w:color w:val="3497A8"/>
          <w:spacing w:val="7"/>
          <w:sz w:val="28"/>
        </w:rPr>
        <w:t xml:space="preserve"> </w:t>
      </w:r>
      <w:r w:rsidRPr="00B5262B">
        <w:rPr>
          <w:b/>
          <w:strike/>
          <w:color w:val="3497A8"/>
          <w:sz w:val="28"/>
        </w:rPr>
        <w:t xml:space="preserve">= 0.163 consistent with weak mean </w:t>
      </w:r>
      <w:r w:rsidRPr="00B5262B">
        <w:rPr>
          <w:b/>
          <w:strike/>
          <w:color w:val="3497A8"/>
          <w:spacing w:val="-2"/>
          <w:sz w:val="28"/>
        </w:rPr>
        <w:t>reversion?</w:t>
      </w:r>
    </w:p>
    <w:p w14:paraId="5A528C51" w14:textId="6C3366E5" w:rsidR="0037691D" w:rsidRDefault="0068374F">
      <w:pPr>
        <w:pStyle w:val="BodyText"/>
        <w:spacing w:before="201" w:line="285" w:lineRule="auto"/>
        <w:ind w:right="259"/>
      </w:pPr>
      <w:r w:rsidRPr="00B5262B">
        <w:rPr>
          <w:strike/>
          <w:color w:val="2B3D4F"/>
        </w:rPr>
        <w:t>JDR notes that</w:t>
      </w:r>
      <w:r>
        <w:rPr>
          <w:color w:val="2B3D4F"/>
        </w:rPr>
        <w:t xml:space="preserve"> </w:t>
      </w:r>
      <w:r w:rsidR="00B5262B">
        <w:rPr>
          <w:color w:val="2B3D4F"/>
        </w:rPr>
        <w:t>A</w:t>
      </w:r>
      <w:r>
        <w:rPr>
          <w:color w:val="2B3D4F"/>
        </w:rPr>
        <w:t xml:space="preserve">cademic expectation for index-level mean reversion is "weak" — the index is not pulled sharply back to trend, but corrects slowly over multi-year horizons. </w:t>
      </w:r>
      <w:r w:rsidRPr="008B3076">
        <w:rPr>
          <w:strike/>
          <w:color w:val="2B3D4F"/>
        </w:rPr>
        <w:t>He asks whether the</w:t>
      </w:r>
      <w:r>
        <w:rPr>
          <w:color w:val="2B3D4F"/>
        </w:rPr>
        <w:t xml:space="preserve"> </w:t>
      </w:r>
      <w:r w:rsidR="008D3E6A">
        <w:rPr>
          <w:color w:val="EE0000"/>
        </w:rPr>
        <w:t xml:space="preserve">Is the </w:t>
      </w:r>
      <w:r>
        <w:rPr>
          <w:color w:val="2B3D4F"/>
        </w:rPr>
        <w:t>Optimised</w:t>
      </w:r>
      <w:r>
        <w:rPr>
          <w:color w:val="2B3D4F"/>
          <w:spacing w:val="-5"/>
        </w:rPr>
        <w:t xml:space="preserve">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0.163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consistent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with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this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characterisation</w:t>
      </w:r>
      <w:r>
        <w:rPr>
          <w:color w:val="2B3D4F"/>
          <w:spacing w:val="-5"/>
        </w:rPr>
        <w:t xml:space="preserve"> </w:t>
      </w:r>
      <w:r w:rsidRPr="008D3E6A">
        <w:rPr>
          <w:color w:val="EE0000"/>
        </w:rPr>
        <w:t>or</w:t>
      </w:r>
      <w:r w:rsidRPr="008D3E6A">
        <w:rPr>
          <w:color w:val="EE0000"/>
          <w:spacing w:val="-5"/>
        </w:rPr>
        <w:t xml:space="preserve"> </w:t>
      </w:r>
      <w:r w:rsidR="008D3E6A" w:rsidRPr="008D3E6A">
        <w:rPr>
          <w:color w:val="EE0000"/>
          <w:spacing w:val="-5"/>
        </w:rPr>
        <w:t xml:space="preserve">does </w:t>
      </w:r>
      <w:r w:rsidRPr="008D3E6A">
        <w:rPr>
          <w:strike/>
          <w:color w:val="2B3D4F"/>
        </w:rPr>
        <w:t>whether</w:t>
      </w:r>
      <w:r w:rsidRPr="008D3E6A">
        <w:rPr>
          <w:strike/>
          <w:color w:val="2B3D4F"/>
          <w:spacing w:val="-5"/>
        </w:rPr>
        <w:t xml:space="preserve"> </w:t>
      </w:r>
      <w:r>
        <w:rPr>
          <w:color w:val="2B3D4F"/>
        </w:rPr>
        <w:t>it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implies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stronger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reversion than evidence supports</w:t>
      </w:r>
      <w:r w:rsidR="008D3E6A">
        <w:rPr>
          <w:color w:val="2B3D4F"/>
        </w:rPr>
        <w:t>?</w:t>
      </w:r>
    </w:p>
    <w:p w14:paraId="5A528C52" w14:textId="77777777" w:rsidR="0037691D" w:rsidRDefault="0068374F">
      <w:pPr>
        <w:pStyle w:val="BodyText"/>
        <w:spacing w:before="164" w:line="283" w:lineRule="auto"/>
        <w:ind w:right="259"/>
        <w:rPr>
          <w:rFonts w:ascii="Symbol" w:hAnsi="Symbol"/>
        </w:rPr>
      </w:pPr>
      <w:r w:rsidRPr="008D3E6A">
        <w:rPr>
          <w:b/>
          <w:strike/>
          <w:color w:val="2B3D4F"/>
        </w:rPr>
        <w:t>Response:</w:t>
      </w:r>
      <w:r>
        <w:rPr>
          <w:b/>
          <w:color w:val="2B3D4F"/>
        </w:rPr>
        <w:t xml:space="preserve">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= 0.163 is in the "weak reversion" regime. The parameter can be interpreted as the annual fraction of any deviation from trend that is corrected: at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>= 0.163, roughly 16% of an annual deviation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pulled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back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trend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each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year,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leaving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84%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of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persist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into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next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year.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deviation compounds for about 6 years before it is substantially reabsorbed. This is the slow, multi-year correction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pattern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academic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literature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describes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—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not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sharp,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within-year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snap-back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that</w:t>
      </w:r>
      <w:r>
        <w:rPr>
          <w:color w:val="2B3D4F"/>
          <w:spacing w:val="2"/>
        </w:rPr>
        <w:t xml:space="preserve">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  <w:spacing w:val="7"/>
        </w:rPr>
        <w:t xml:space="preserve"> </w:t>
      </w:r>
      <w:r>
        <w:rPr>
          <w:rFonts w:ascii="Symbol" w:hAnsi="Symbol"/>
          <w:color w:val="2B3D4F"/>
          <w:spacing w:val="-10"/>
        </w:rPr>
        <w:t></w:t>
      </w:r>
    </w:p>
    <w:p w14:paraId="5A528C53" w14:textId="77777777" w:rsidR="0037691D" w:rsidRDefault="0068374F">
      <w:pPr>
        <w:pStyle w:val="BodyText"/>
        <w:spacing w:before="3"/>
      </w:pPr>
      <w:r>
        <w:rPr>
          <w:color w:val="2B3D4F"/>
        </w:rPr>
        <w:t xml:space="preserve">0.5 would </w:t>
      </w:r>
      <w:r>
        <w:rPr>
          <w:color w:val="2B3D4F"/>
          <w:spacing w:val="-2"/>
        </w:rPr>
        <w:t>imply.</w:t>
      </w:r>
    </w:p>
    <w:p w14:paraId="5A528C54" w14:textId="7F76931B" w:rsidR="0037691D" w:rsidRDefault="0068374F">
      <w:pPr>
        <w:pStyle w:val="BodyText"/>
        <w:spacing w:before="207" w:line="283" w:lineRule="auto"/>
        <w:ind w:right="259"/>
      </w:pPr>
      <w:r>
        <w:rPr>
          <w:color w:val="2B3D4F"/>
        </w:rPr>
        <w:t xml:space="preserve">The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sensitivity table above makes the point numerically. At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= 0.30 (faster reversion) PoC falls to 1.35%. At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= 0.08 (half the Optimised value) PoC rises to 7.57%. At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= 0 (no reversion) PoC rises to 35.64%. The Optimised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= 0.163 sits toward the lower end of the plausible </w:t>
      </w:r>
      <w:r>
        <w:rPr>
          <w:rFonts w:ascii="Symbol" w:hAnsi="Symbol"/>
          <w:color w:val="2B3D4F"/>
        </w:rPr>
        <w:t>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>range consistent with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MLE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estimates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—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conservative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choice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relative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Shevchenko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point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estimate,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one that produces LMI pricing well above the break-even line even if reversion is materially weaker than the MLE suggests.</w:t>
      </w:r>
    </w:p>
    <w:p w14:paraId="5A528C55" w14:textId="77777777" w:rsidR="0037691D" w:rsidRDefault="0037691D">
      <w:pPr>
        <w:pStyle w:val="BodyText"/>
        <w:spacing w:line="283" w:lineRule="auto"/>
        <w:sectPr w:rsidR="0037691D">
          <w:pgSz w:w="11910" w:h="16840"/>
          <w:pgMar w:top="1480" w:right="1275" w:bottom="820" w:left="1275" w:header="0" w:footer="625" w:gutter="0"/>
          <w:cols w:space="720"/>
        </w:sectPr>
      </w:pPr>
    </w:p>
    <w:p w14:paraId="31305788" w14:textId="77777777" w:rsidR="00E80BC5" w:rsidRDefault="00E80BC5">
      <w:pPr>
        <w:pStyle w:val="Heading1"/>
        <w:jc w:val="left"/>
        <w:rPr>
          <w:color w:val="2B3D4F"/>
          <w:spacing w:val="-2"/>
        </w:rPr>
      </w:pPr>
    </w:p>
    <w:p w14:paraId="52CA0F54" w14:textId="77777777" w:rsidR="00E80BC5" w:rsidRDefault="008D3E6A">
      <w:pPr>
        <w:pStyle w:val="Heading1"/>
        <w:jc w:val="left"/>
        <w:rPr>
          <w:color w:val="2B3D4F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A528C69" wp14:editId="472A10EA">
                <wp:simplePos x="0" y="0"/>
                <wp:positionH relativeFrom="page">
                  <wp:posOffset>1026795</wp:posOffset>
                </wp:positionH>
                <wp:positionV relativeFrom="paragraph">
                  <wp:posOffset>24130</wp:posOffset>
                </wp:positionV>
                <wp:extent cx="5633085" cy="1064260"/>
                <wp:effectExtent l="0" t="0" r="24765" b="2159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3085" cy="10642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3497A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528C75" w14:textId="7FEFF98A" w:rsidR="0037691D" w:rsidRPr="008D3E6A" w:rsidRDefault="008D3E6A">
                            <w:pPr>
                              <w:spacing w:before="109" w:line="276" w:lineRule="auto"/>
                              <w:ind w:left="110" w:right="225"/>
                              <w:rPr>
                                <w:b/>
                                <w:strike/>
                              </w:rPr>
                            </w:pPr>
                            <w:r>
                              <w:rPr>
                                <w:b/>
                                <w:color w:val="2B3D4F"/>
                              </w:rPr>
                              <w:t>Summary</w:t>
                            </w:r>
                            <w:r w:rsidR="0068374F" w:rsidRPr="008D3E6A">
                              <w:rPr>
                                <w:b/>
                                <w:strike/>
                                <w:color w:val="2B3D4F"/>
                              </w:rPr>
                              <w:t>Conclusion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: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rFonts w:ascii="Symbol" w:hAnsi="Symbol"/>
                                <w:color w:val="2B3D4F"/>
                              </w:rPr>
                              <w:t></w:t>
                            </w:r>
                            <w:r w:rsidR="0068374F">
                              <w:rPr>
                                <w:rFonts w:ascii="Times New Roman" w:hAnsi="Times New Roman"/>
                                <w:color w:val="2B3D4F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=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0.163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is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both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(a)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consistent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with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the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academic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characterisation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4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of weak, multi-year index reversion, and (b) numerically defensible as a conservative-but-not-degenerate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3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parameter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3"/>
                              </w:rPr>
                              <w:t xml:space="preserve"> </w:t>
                            </w:r>
                            <w:r w:rsidR="0068374F">
                              <w:rPr>
                                <w:b/>
                                <w:color w:val="2B3D4F"/>
                              </w:rPr>
                              <w:t>choice.</w:t>
                            </w:r>
                            <w:r w:rsidR="0068374F">
                              <w:rPr>
                                <w:b/>
                                <w:color w:val="2B3D4F"/>
                                <w:spacing w:val="-3"/>
                              </w:rPr>
                              <w:t xml:space="preserve"> </w:t>
                            </w:r>
                            <w:r w:rsidR="0068374F" w:rsidRPr="008D3E6A">
                              <w:rPr>
                                <w:b/>
                                <w:strike/>
                                <w:color w:val="2B3D4F"/>
                              </w:rPr>
                              <w:t>The</w:t>
                            </w:r>
                            <w:r w:rsidR="0068374F" w:rsidRPr="008D3E6A">
                              <w:rPr>
                                <w:b/>
                                <w:strike/>
                                <w:color w:val="2B3D4F"/>
                                <w:spacing w:val="-3"/>
                              </w:rPr>
                              <w:t xml:space="preserve"> </w:t>
                            </w:r>
                            <w:r w:rsidR="0068374F" w:rsidRPr="008D3E6A">
                              <w:rPr>
                                <w:rFonts w:ascii="Symbol" w:hAnsi="Symbol"/>
                                <w:strike/>
                                <w:color w:val="2B3D4F"/>
                              </w:rPr>
                              <w:t></w:t>
                            </w:r>
                            <w:r w:rsidR="0068374F" w:rsidRPr="008D3E6A">
                              <w:rPr>
                                <w:rFonts w:ascii="Times New Roman" w:hAnsi="Times New Roman"/>
                                <w:strike/>
                                <w:color w:val="2B3D4F"/>
                              </w:rPr>
                              <w:t xml:space="preserve"> </w:t>
                            </w:r>
                            <w:r w:rsidR="0068374F" w:rsidRPr="008D3E6A">
                              <w:rPr>
                                <w:b/>
                                <w:strike/>
                                <w:color w:val="2B3D4F"/>
                              </w:rPr>
                              <w:t>sensitivity</w:t>
                            </w:r>
                            <w:r w:rsidR="0068374F" w:rsidRPr="008D3E6A">
                              <w:rPr>
                                <w:b/>
                                <w:strike/>
                                <w:color w:val="2B3D4F"/>
                                <w:spacing w:val="-3"/>
                              </w:rPr>
                              <w:t xml:space="preserve"> </w:t>
                            </w:r>
                            <w:r w:rsidR="0068374F" w:rsidRPr="008D3E6A">
                              <w:rPr>
                                <w:b/>
                                <w:strike/>
                                <w:color w:val="2B3D4F"/>
                              </w:rPr>
                              <w:t>table</w:t>
                            </w:r>
                            <w:r w:rsidR="0068374F" w:rsidRPr="008D3E6A">
                              <w:rPr>
                                <w:b/>
                                <w:strike/>
                                <w:color w:val="2B3D4F"/>
                                <w:spacing w:val="-3"/>
                              </w:rPr>
                              <w:t xml:space="preserve"> </w:t>
                            </w:r>
                            <w:r w:rsidR="0068374F" w:rsidRPr="008D3E6A">
                              <w:rPr>
                                <w:b/>
                                <w:strike/>
                                <w:color w:val="2B3D4F"/>
                              </w:rPr>
                              <w:t>should accompany the headline PoC in investor and reinsurer materials.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28C69" id="Textbox 10" o:spid="_x0000_s1029" type="#_x0000_t202" style="position:absolute;left:0;text-align:left;margin-left:80.85pt;margin-top:1.9pt;width:443.55pt;height:83.8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" filled="f" strokecolor="#3497a8" strokeweight="1pt">
                <v:path arrowok="t"/>
                <v:textbox inset="0,0,0,0">
                  <w:txbxContent>
                    <w:p w14:paraId="5A528C75" w14:textId="7FEFF98A" w:rsidR="0037691D" w:rsidRPr="008D3E6A" w:rsidRDefault="008D3E6A">
                      <w:pPr>
                        <w:spacing w:before="109" w:line="276" w:lineRule="auto"/>
                        <w:ind w:left="110" w:right="225"/>
                        <w:rPr>
                          <w:b/>
                          <w:strike/>
                        </w:rPr>
                      </w:pPr>
                      <w:r>
                        <w:rPr>
                          <w:b/>
                          <w:color w:val="2B3D4F"/>
                        </w:rPr>
                        <w:t>Summary</w:t>
                      </w:r>
                      <w:r w:rsidR="0068374F" w:rsidRPr="008D3E6A">
                        <w:rPr>
                          <w:b/>
                          <w:strike/>
                          <w:color w:val="2B3D4F"/>
                        </w:rPr>
                        <w:t>Conclusion</w:t>
                      </w:r>
                      <w:r w:rsidR="0068374F">
                        <w:rPr>
                          <w:b/>
                          <w:color w:val="2B3D4F"/>
                        </w:rPr>
                        <w:t>: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rFonts w:ascii="Symbol" w:hAnsi="Symbol"/>
                          <w:color w:val="2B3D4F"/>
                        </w:rPr>
                        <w:t></w:t>
                      </w:r>
                      <w:r w:rsidR="0068374F">
                        <w:rPr>
                          <w:rFonts w:ascii="Times New Roman" w:hAnsi="Times New Roman"/>
                          <w:color w:val="2B3D4F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=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0.163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is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both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(a)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consistent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with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the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academic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characterisation</w:t>
                      </w:r>
                      <w:r w:rsidR="0068374F">
                        <w:rPr>
                          <w:b/>
                          <w:color w:val="2B3D4F"/>
                          <w:spacing w:val="-4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of weak, multi-year index reversion, and (b) numerically defensible as a conservative-but-not-degenerate</w:t>
                      </w:r>
                      <w:r w:rsidR="0068374F">
                        <w:rPr>
                          <w:b/>
                          <w:color w:val="2B3D4F"/>
                          <w:spacing w:val="-3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parameter</w:t>
                      </w:r>
                      <w:r w:rsidR="0068374F">
                        <w:rPr>
                          <w:b/>
                          <w:color w:val="2B3D4F"/>
                          <w:spacing w:val="-3"/>
                        </w:rPr>
                        <w:t xml:space="preserve"> </w:t>
                      </w:r>
                      <w:r w:rsidR="0068374F">
                        <w:rPr>
                          <w:b/>
                          <w:color w:val="2B3D4F"/>
                        </w:rPr>
                        <w:t>choice.</w:t>
                      </w:r>
                      <w:r w:rsidR="0068374F">
                        <w:rPr>
                          <w:b/>
                          <w:color w:val="2B3D4F"/>
                          <w:spacing w:val="-3"/>
                        </w:rPr>
                        <w:t xml:space="preserve"> </w:t>
                      </w:r>
                      <w:r w:rsidR="0068374F" w:rsidRPr="008D3E6A">
                        <w:rPr>
                          <w:b/>
                          <w:strike/>
                          <w:color w:val="2B3D4F"/>
                        </w:rPr>
                        <w:t>The</w:t>
                      </w:r>
                      <w:r w:rsidR="0068374F" w:rsidRPr="008D3E6A">
                        <w:rPr>
                          <w:b/>
                          <w:strike/>
                          <w:color w:val="2B3D4F"/>
                          <w:spacing w:val="-3"/>
                        </w:rPr>
                        <w:t xml:space="preserve"> </w:t>
                      </w:r>
                      <w:r w:rsidR="0068374F" w:rsidRPr="008D3E6A">
                        <w:rPr>
                          <w:rFonts w:ascii="Symbol" w:hAnsi="Symbol"/>
                          <w:strike/>
                          <w:color w:val="2B3D4F"/>
                        </w:rPr>
                        <w:t></w:t>
                      </w:r>
                      <w:r w:rsidR="0068374F" w:rsidRPr="008D3E6A">
                        <w:rPr>
                          <w:rFonts w:ascii="Times New Roman" w:hAnsi="Times New Roman"/>
                          <w:strike/>
                          <w:color w:val="2B3D4F"/>
                        </w:rPr>
                        <w:t xml:space="preserve"> </w:t>
                      </w:r>
                      <w:r w:rsidR="0068374F" w:rsidRPr="008D3E6A">
                        <w:rPr>
                          <w:b/>
                          <w:strike/>
                          <w:color w:val="2B3D4F"/>
                        </w:rPr>
                        <w:t>sensitivity</w:t>
                      </w:r>
                      <w:r w:rsidR="0068374F" w:rsidRPr="008D3E6A">
                        <w:rPr>
                          <w:b/>
                          <w:strike/>
                          <w:color w:val="2B3D4F"/>
                          <w:spacing w:val="-3"/>
                        </w:rPr>
                        <w:t xml:space="preserve"> </w:t>
                      </w:r>
                      <w:r w:rsidR="0068374F" w:rsidRPr="008D3E6A">
                        <w:rPr>
                          <w:b/>
                          <w:strike/>
                          <w:color w:val="2B3D4F"/>
                        </w:rPr>
                        <w:t>table</w:t>
                      </w:r>
                      <w:r w:rsidR="0068374F" w:rsidRPr="008D3E6A">
                        <w:rPr>
                          <w:b/>
                          <w:strike/>
                          <w:color w:val="2B3D4F"/>
                          <w:spacing w:val="-3"/>
                        </w:rPr>
                        <w:t xml:space="preserve"> </w:t>
                      </w:r>
                      <w:r w:rsidR="0068374F" w:rsidRPr="008D3E6A">
                        <w:rPr>
                          <w:b/>
                          <w:strike/>
                          <w:color w:val="2B3D4F"/>
                        </w:rPr>
                        <w:t>should accompany the headline PoC in investor and reinsurer materials.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60CD75" w14:textId="77777777" w:rsidR="00B21624" w:rsidRDefault="005C4553">
      <w:pPr>
        <w:pStyle w:val="Heading1"/>
        <w:jc w:val="left"/>
        <w:rPr>
          <w:color w:val="2B3D4F"/>
          <w:spacing w:val="-2"/>
        </w:rPr>
      </w:pPr>
      <w:r>
        <w:rPr>
          <w:color w:val="2B3D4F"/>
          <w:spacing w:val="-2"/>
        </w:rPr>
        <w:t>A</w:t>
      </w:r>
      <w:r w:rsidR="00B21624">
        <w:rPr>
          <w:color w:val="2B3D4F"/>
          <w:spacing w:val="-2"/>
        </w:rPr>
        <w:t>re the Numbers Insurable?</w:t>
      </w:r>
    </w:p>
    <w:p w14:paraId="1044A73E" w14:textId="77777777" w:rsidR="00B21624" w:rsidRPr="00B21624" w:rsidRDefault="00B21624" w:rsidP="00B21624">
      <w:pPr>
        <w:spacing w:before="203" w:line="292" w:lineRule="auto"/>
        <w:ind w:left="262" w:right="259"/>
        <w:jc w:val="both"/>
        <w:rPr>
          <w:color w:val="EE0000"/>
          <w:sz w:val="20"/>
          <w:szCs w:val="20"/>
        </w:rPr>
      </w:pPr>
      <w:r w:rsidRPr="00B21624">
        <w:rPr>
          <w:b/>
          <w:color w:val="EE0000"/>
          <w:sz w:val="20"/>
          <w:szCs w:val="20"/>
        </w:rPr>
        <w:t xml:space="preserve">At base case parameters, yes. </w:t>
      </w:r>
      <w:r w:rsidRPr="00B21624">
        <w:rPr>
          <w:color w:val="EE0000"/>
          <w:sz w:val="20"/>
          <w:szCs w:val="20"/>
        </w:rPr>
        <w:t xml:space="preserve">A 1.2% PoD with a conditional deficit of $333,305 against a $2M property is a reasonable risk profile. The LMI fair premium of $1,716 is commercially viable. The portfolio-level PoC after the Payments Waterfall is well below the 1% threshold that reinsurers typically </w:t>
      </w:r>
      <w:commentRangeStart w:id="1"/>
      <w:r w:rsidRPr="00B21624">
        <w:rPr>
          <w:color w:val="EE0000"/>
          <w:sz w:val="20"/>
          <w:szCs w:val="20"/>
        </w:rPr>
        <w:t>require</w:t>
      </w:r>
      <w:commentRangeEnd w:id="1"/>
      <w:r w:rsidRPr="00B21624">
        <w:rPr>
          <w:rStyle w:val="CommentReference"/>
          <w:color w:val="EE0000"/>
          <w:sz w:val="20"/>
          <w:szCs w:val="20"/>
        </w:rPr>
        <w:commentReference w:id="1"/>
      </w:r>
      <w:r w:rsidRPr="00B21624">
        <w:rPr>
          <w:color w:val="EE0000"/>
          <w:sz w:val="20"/>
          <w:szCs w:val="20"/>
        </w:rPr>
        <w:t>.</w:t>
      </w:r>
    </w:p>
    <w:p w14:paraId="34D09D9C" w14:textId="77777777" w:rsidR="00B21624" w:rsidRPr="00B21624" w:rsidRDefault="00B21624" w:rsidP="00B21624">
      <w:pPr>
        <w:spacing w:before="168" w:line="292" w:lineRule="auto"/>
        <w:ind w:left="262" w:right="259"/>
        <w:jc w:val="both"/>
        <w:rPr>
          <w:color w:val="EE0000"/>
          <w:sz w:val="20"/>
          <w:szCs w:val="20"/>
        </w:rPr>
      </w:pPr>
      <w:r w:rsidRPr="00B21624">
        <w:rPr>
          <w:color w:val="EE0000"/>
          <w:sz w:val="20"/>
          <w:szCs w:val="20"/>
        </w:rPr>
        <w:t>Note the sensitivity analysis reveals that the product remains sensitive to parameter assumptions. A persistent shift to 8% returns with 20% volatility (the "mild adverse" scenario) pushes PoD to 10.19%. The Payments &amp;Risk Waterfall and the subsequent insurance structure are essential for managing these tail scenarios.</w:t>
      </w:r>
    </w:p>
    <w:p w14:paraId="423B4A54" w14:textId="77777777" w:rsidR="00B21624" w:rsidRPr="00B21624" w:rsidRDefault="00B21624" w:rsidP="00B21624">
      <w:pPr>
        <w:spacing w:before="56"/>
        <w:rPr>
          <w:color w:val="EE0000"/>
          <w:sz w:val="20"/>
          <w:szCs w:val="20"/>
        </w:rPr>
      </w:pPr>
    </w:p>
    <w:p w14:paraId="779F5E7D" w14:textId="77777777" w:rsidR="00B21624" w:rsidRPr="00B21624" w:rsidRDefault="00B21624" w:rsidP="00B21624">
      <w:pPr>
        <w:spacing w:before="62"/>
        <w:ind w:left="262"/>
        <w:outlineLvl w:val="0"/>
        <w:rPr>
          <w:b/>
          <w:bCs/>
          <w:color w:val="000000" w:themeColor="text1"/>
          <w:sz w:val="36"/>
          <w:szCs w:val="36"/>
        </w:rPr>
      </w:pPr>
      <w:r w:rsidRPr="00B21624">
        <w:rPr>
          <w:b/>
          <w:bCs/>
          <w:color w:val="000000" w:themeColor="text1"/>
          <w:sz w:val="36"/>
          <w:szCs w:val="36"/>
        </w:rPr>
        <w:t xml:space="preserve">EPM vs Current Investment </w:t>
      </w:r>
      <w:r w:rsidRPr="00B21624">
        <w:rPr>
          <w:b/>
          <w:bCs/>
          <w:color w:val="000000" w:themeColor="text1"/>
          <w:spacing w:val="-2"/>
          <w:sz w:val="36"/>
          <w:szCs w:val="36"/>
        </w:rPr>
        <w:t>Landscape</w:t>
      </w:r>
    </w:p>
    <w:p w14:paraId="37F8E9C8" w14:textId="77777777" w:rsidR="00B21624" w:rsidRPr="00B21624" w:rsidRDefault="00B21624" w:rsidP="00B21624">
      <w:pPr>
        <w:spacing w:before="242" w:line="292" w:lineRule="auto"/>
        <w:ind w:left="262"/>
        <w:rPr>
          <w:color w:val="EE0000"/>
          <w:sz w:val="20"/>
          <w:szCs w:val="20"/>
        </w:rPr>
      </w:pPr>
      <w:r w:rsidRPr="00B21624">
        <w:rPr>
          <w:color w:val="EE0000"/>
          <w:sz w:val="20"/>
          <w:szCs w:val="20"/>
        </w:rPr>
        <w:t xml:space="preserve">To place the EPM risk profile in context, we benchmark its key actuarial metrics against established credit instruments and traditional residential </w:t>
      </w:r>
      <w:commentRangeStart w:id="2"/>
      <w:r w:rsidRPr="00B21624">
        <w:rPr>
          <w:color w:val="EE0000"/>
          <w:sz w:val="20"/>
          <w:szCs w:val="20"/>
        </w:rPr>
        <w:t>lending</w:t>
      </w:r>
      <w:commentRangeEnd w:id="2"/>
      <w:r w:rsidR="00AC074D" w:rsidRPr="00B21624">
        <w:rPr>
          <w:rStyle w:val="CommentReference"/>
          <w:color w:val="EE0000"/>
          <w:sz w:val="20"/>
          <w:szCs w:val="20"/>
        </w:rPr>
        <w:commentReference w:id="2"/>
      </w:r>
      <w:r w:rsidRPr="00B21624">
        <w:rPr>
          <w:color w:val="EE0000"/>
          <w:sz w:val="20"/>
          <w:szCs w:val="20"/>
        </w:rPr>
        <w:t>.</w:t>
      </w:r>
    </w:p>
    <w:p w14:paraId="632D679C" w14:textId="77777777" w:rsidR="00B21624" w:rsidRPr="00B21624" w:rsidRDefault="00B21624" w:rsidP="00B21624">
      <w:pPr>
        <w:spacing w:before="2"/>
        <w:rPr>
          <w:color w:val="EE0000"/>
          <w:sz w:val="13"/>
          <w:szCs w:val="20"/>
        </w:rPr>
      </w:pPr>
    </w:p>
    <w:tbl>
      <w:tblPr>
        <w:tblW w:w="0" w:type="auto"/>
        <w:tblInd w:w="487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247"/>
        <w:gridCol w:w="1417"/>
        <w:gridCol w:w="1247"/>
        <w:gridCol w:w="1247"/>
        <w:gridCol w:w="1417"/>
      </w:tblGrid>
      <w:tr w:rsidR="00B21624" w:rsidRPr="00B21624" w14:paraId="16662C7C" w14:textId="77777777" w:rsidTr="00C43877">
        <w:trPr>
          <w:trHeight w:val="590"/>
        </w:trPr>
        <w:tc>
          <w:tcPr>
            <w:tcW w:w="1814" w:type="dxa"/>
            <w:shd w:val="clear" w:color="auto" w:fill="2B3D4F"/>
          </w:tcPr>
          <w:p w14:paraId="5FECB039" w14:textId="77777777" w:rsidR="00B21624" w:rsidRPr="00B21624" w:rsidRDefault="00B21624" w:rsidP="00B21624">
            <w:pPr>
              <w:spacing w:before="196"/>
              <w:ind w:left="120"/>
              <w:rPr>
                <w:b/>
                <w:color w:val="EE0000"/>
                <w:sz w:val="18"/>
              </w:rPr>
            </w:pPr>
            <w:r w:rsidRPr="00B21624">
              <w:rPr>
                <w:b/>
                <w:color w:val="EE0000"/>
                <w:spacing w:val="-2"/>
                <w:sz w:val="18"/>
              </w:rPr>
              <w:t>Metric</w:t>
            </w:r>
          </w:p>
        </w:tc>
        <w:tc>
          <w:tcPr>
            <w:tcW w:w="1247" w:type="dxa"/>
            <w:shd w:val="clear" w:color="auto" w:fill="2B3D4F"/>
          </w:tcPr>
          <w:p w14:paraId="163171C5" w14:textId="77777777" w:rsidR="00B21624" w:rsidRPr="00B21624" w:rsidRDefault="00B21624" w:rsidP="00B21624">
            <w:pPr>
              <w:spacing w:before="196"/>
              <w:ind w:left="12" w:right="2"/>
              <w:jc w:val="center"/>
              <w:rPr>
                <w:b/>
                <w:color w:val="EE0000"/>
                <w:sz w:val="18"/>
              </w:rPr>
            </w:pPr>
            <w:r w:rsidRPr="00B21624">
              <w:rPr>
                <w:b/>
                <w:color w:val="EE0000"/>
                <w:sz w:val="18"/>
              </w:rPr>
              <w:t xml:space="preserve">EPM </w:t>
            </w:r>
            <w:r w:rsidRPr="00B21624">
              <w:rPr>
                <w:b/>
                <w:color w:val="EE0000"/>
                <w:spacing w:val="-2"/>
                <w:sz w:val="18"/>
              </w:rPr>
              <w:t>(v14c)</w:t>
            </w:r>
          </w:p>
        </w:tc>
        <w:tc>
          <w:tcPr>
            <w:tcW w:w="1417" w:type="dxa"/>
            <w:shd w:val="clear" w:color="auto" w:fill="2B3D4F"/>
          </w:tcPr>
          <w:p w14:paraId="01E65E19" w14:textId="77777777" w:rsidR="00B21624" w:rsidRPr="00B21624" w:rsidRDefault="00B21624" w:rsidP="00B21624">
            <w:pPr>
              <w:spacing w:before="86" w:line="254" w:lineRule="auto"/>
              <w:ind w:left="304" w:right="286" w:hanging="1"/>
              <w:rPr>
                <w:b/>
                <w:color w:val="EE0000"/>
                <w:sz w:val="18"/>
              </w:rPr>
            </w:pPr>
            <w:r w:rsidRPr="00B21624">
              <w:rPr>
                <w:b/>
                <w:color w:val="EE0000"/>
                <w:sz w:val="18"/>
              </w:rPr>
              <w:t>Prime</w:t>
            </w:r>
            <w:r w:rsidRPr="00B21624">
              <w:rPr>
                <w:b/>
                <w:color w:val="EE0000"/>
                <w:spacing w:val="-13"/>
                <w:sz w:val="18"/>
              </w:rPr>
              <w:t xml:space="preserve"> </w:t>
            </w:r>
            <w:r w:rsidRPr="00B21624">
              <w:rPr>
                <w:b/>
                <w:color w:val="EE0000"/>
                <w:sz w:val="18"/>
              </w:rPr>
              <w:t xml:space="preserve">AU </w:t>
            </w:r>
            <w:r w:rsidRPr="00B21624">
              <w:rPr>
                <w:b/>
                <w:color w:val="EE0000"/>
                <w:spacing w:val="-2"/>
                <w:sz w:val="18"/>
              </w:rPr>
              <w:t>Mortgage</w:t>
            </w:r>
          </w:p>
        </w:tc>
        <w:tc>
          <w:tcPr>
            <w:tcW w:w="1247" w:type="dxa"/>
            <w:shd w:val="clear" w:color="auto" w:fill="2B3D4F"/>
          </w:tcPr>
          <w:p w14:paraId="7DB49C27" w14:textId="77777777" w:rsidR="00B21624" w:rsidRPr="00B21624" w:rsidRDefault="00B21624" w:rsidP="00B21624">
            <w:pPr>
              <w:spacing w:before="86" w:line="254" w:lineRule="auto"/>
              <w:ind w:left="239" w:right="187" w:firstLine="23"/>
              <w:rPr>
                <w:b/>
                <w:color w:val="EE0000"/>
                <w:sz w:val="18"/>
              </w:rPr>
            </w:pPr>
            <w:r w:rsidRPr="00B21624">
              <w:rPr>
                <w:b/>
                <w:color w:val="EE0000"/>
                <w:spacing w:val="-2"/>
                <w:sz w:val="18"/>
              </w:rPr>
              <w:t xml:space="preserve">Moody's </w:t>
            </w:r>
            <w:r w:rsidRPr="00B21624">
              <w:rPr>
                <w:b/>
                <w:color w:val="EE0000"/>
                <w:sz w:val="18"/>
              </w:rPr>
              <w:t>AA</w:t>
            </w:r>
            <w:r w:rsidRPr="00B21624">
              <w:rPr>
                <w:b/>
                <w:color w:val="EE0000"/>
                <w:spacing w:val="-2"/>
                <w:sz w:val="18"/>
              </w:rPr>
              <w:t xml:space="preserve"> </w:t>
            </w:r>
            <w:r w:rsidRPr="00B21624">
              <w:rPr>
                <w:b/>
                <w:color w:val="EE0000"/>
                <w:spacing w:val="-4"/>
                <w:sz w:val="18"/>
              </w:rPr>
              <w:t>Bond</w:t>
            </w:r>
          </w:p>
        </w:tc>
        <w:tc>
          <w:tcPr>
            <w:tcW w:w="1247" w:type="dxa"/>
            <w:shd w:val="clear" w:color="auto" w:fill="2B3D4F"/>
          </w:tcPr>
          <w:p w14:paraId="14D7716B" w14:textId="77777777" w:rsidR="00B21624" w:rsidRPr="00B21624" w:rsidRDefault="00B21624" w:rsidP="00B21624">
            <w:pPr>
              <w:spacing w:before="86" w:line="254" w:lineRule="auto"/>
              <w:ind w:left="434" w:right="187" w:hanging="231"/>
              <w:rPr>
                <w:b/>
                <w:color w:val="EE0000"/>
                <w:sz w:val="18"/>
              </w:rPr>
            </w:pPr>
            <w:r w:rsidRPr="00B21624">
              <w:rPr>
                <w:b/>
                <w:color w:val="EE0000"/>
                <w:sz w:val="18"/>
              </w:rPr>
              <w:t>AU</w:t>
            </w:r>
            <w:r w:rsidRPr="00B21624">
              <w:rPr>
                <w:b/>
                <w:color w:val="EE0000"/>
                <w:spacing w:val="-13"/>
                <w:sz w:val="18"/>
              </w:rPr>
              <w:t xml:space="preserve"> </w:t>
            </w:r>
            <w:r w:rsidRPr="00B21624">
              <w:rPr>
                <w:b/>
                <w:color w:val="EE0000"/>
                <w:sz w:val="18"/>
              </w:rPr>
              <w:t xml:space="preserve">RMBS </w:t>
            </w:r>
            <w:r w:rsidRPr="00B21624">
              <w:rPr>
                <w:b/>
                <w:color w:val="EE0000"/>
                <w:spacing w:val="-4"/>
                <w:sz w:val="18"/>
              </w:rPr>
              <w:t>(AA)</w:t>
            </w:r>
          </w:p>
        </w:tc>
        <w:tc>
          <w:tcPr>
            <w:tcW w:w="1417" w:type="dxa"/>
            <w:shd w:val="clear" w:color="auto" w:fill="2B3D4F"/>
          </w:tcPr>
          <w:p w14:paraId="2826D9FC" w14:textId="77777777" w:rsidR="00B21624" w:rsidRPr="00B21624" w:rsidRDefault="00B21624" w:rsidP="00B21624">
            <w:pPr>
              <w:spacing w:before="86"/>
              <w:ind w:left="13" w:right="1"/>
              <w:jc w:val="center"/>
              <w:rPr>
                <w:b/>
                <w:color w:val="EE0000"/>
                <w:sz w:val="18"/>
              </w:rPr>
            </w:pPr>
            <w:r w:rsidRPr="00B21624">
              <w:rPr>
                <w:b/>
                <w:color w:val="EE0000"/>
                <w:sz w:val="18"/>
              </w:rPr>
              <w:t xml:space="preserve">S&amp;P; </w:t>
            </w:r>
            <w:r w:rsidRPr="00B21624">
              <w:rPr>
                <w:b/>
                <w:color w:val="EE0000"/>
                <w:spacing w:val="-5"/>
                <w:sz w:val="18"/>
              </w:rPr>
              <w:t>500</w:t>
            </w:r>
          </w:p>
          <w:p w14:paraId="7585504A" w14:textId="77777777" w:rsidR="00B21624" w:rsidRPr="00B21624" w:rsidRDefault="00B21624" w:rsidP="00B21624">
            <w:pPr>
              <w:spacing w:before="13"/>
              <w:ind w:left="13" w:right="1"/>
              <w:jc w:val="center"/>
              <w:rPr>
                <w:b/>
                <w:color w:val="EE0000"/>
                <w:sz w:val="18"/>
              </w:rPr>
            </w:pPr>
            <w:r w:rsidRPr="00B21624">
              <w:rPr>
                <w:b/>
                <w:color w:val="EE0000"/>
                <w:spacing w:val="-2"/>
                <w:sz w:val="18"/>
              </w:rPr>
              <w:t>(30yr)</w:t>
            </w:r>
          </w:p>
        </w:tc>
      </w:tr>
      <w:tr w:rsidR="00B21624" w:rsidRPr="00B21624" w14:paraId="622ADF08" w14:textId="77777777" w:rsidTr="00C43877">
        <w:trPr>
          <w:trHeight w:val="590"/>
        </w:trPr>
        <w:tc>
          <w:tcPr>
            <w:tcW w:w="1814" w:type="dxa"/>
          </w:tcPr>
          <w:p w14:paraId="68C53F6D" w14:textId="77777777" w:rsidR="00B21624" w:rsidRPr="00B21624" w:rsidRDefault="00B21624" w:rsidP="00B21624">
            <w:pPr>
              <w:spacing w:before="86" w:line="254" w:lineRule="auto"/>
              <w:ind w:left="120" w:right="186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Cumulative</w:t>
            </w:r>
            <w:r w:rsidRPr="00B21624">
              <w:rPr>
                <w:color w:val="EE0000"/>
                <w:spacing w:val="-13"/>
                <w:sz w:val="18"/>
              </w:rPr>
              <w:t xml:space="preserve"> </w:t>
            </w:r>
            <w:r w:rsidRPr="00B21624">
              <w:rPr>
                <w:color w:val="EE0000"/>
                <w:sz w:val="18"/>
              </w:rPr>
              <w:t xml:space="preserve">default </w:t>
            </w:r>
            <w:r w:rsidRPr="00B21624">
              <w:rPr>
                <w:color w:val="EE0000"/>
                <w:spacing w:val="-2"/>
                <w:sz w:val="18"/>
              </w:rPr>
              <w:t>(30yr)</w:t>
            </w:r>
          </w:p>
        </w:tc>
        <w:tc>
          <w:tcPr>
            <w:tcW w:w="1247" w:type="dxa"/>
          </w:tcPr>
          <w:p w14:paraId="721F2325" w14:textId="77777777" w:rsidR="00B21624" w:rsidRPr="00B21624" w:rsidRDefault="00B21624" w:rsidP="00B21624">
            <w:pPr>
              <w:spacing w:before="196"/>
              <w:ind w:left="12" w:right="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pacing w:val="-4"/>
                <w:sz w:val="18"/>
              </w:rPr>
              <w:t>1.2%</w:t>
            </w:r>
          </w:p>
        </w:tc>
        <w:tc>
          <w:tcPr>
            <w:tcW w:w="1417" w:type="dxa"/>
          </w:tcPr>
          <w:p w14:paraId="2F942785" w14:textId="77777777" w:rsidR="00B21624" w:rsidRPr="00B21624" w:rsidRDefault="00B21624" w:rsidP="00B21624">
            <w:pPr>
              <w:spacing w:before="196"/>
              <w:ind w:left="13" w:right="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3–</w:t>
            </w:r>
            <w:r w:rsidRPr="00B21624">
              <w:rPr>
                <w:color w:val="EE0000"/>
                <w:spacing w:val="-5"/>
                <w:sz w:val="18"/>
              </w:rPr>
              <w:t>5%</w:t>
            </w:r>
          </w:p>
        </w:tc>
        <w:tc>
          <w:tcPr>
            <w:tcW w:w="1247" w:type="dxa"/>
          </w:tcPr>
          <w:p w14:paraId="61BCF481" w14:textId="77777777" w:rsidR="00B21624" w:rsidRPr="00B21624" w:rsidRDefault="00B21624" w:rsidP="00B21624">
            <w:pPr>
              <w:spacing w:before="196"/>
              <w:ind w:left="12" w:right="1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pacing w:val="-2"/>
                <w:sz w:val="18"/>
              </w:rPr>
              <w:t>~1.5%</w:t>
            </w:r>
          </w:p>
        </w:tc>
        <w:tc>
          <w:tcPr>
            <w:tcW w:w="1247" w:type="dxa"/>
          </w:tcPr>
          <w:p w14:paraId="28FCD4E1" w14:textId="77777777" w:rsidR="00B21624" w:rsidRPr="00B21624" w:rsidRDefault="00B21624" w:rsidP="00B21624">
            <w:pPr>
              <w:spacing w:before="196"/>
              <w:ind w:left="1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~1–</w:t>
            </w:r>
            <w:r w:rsidRPr="00B21624">
              <w:rPr>
                <w:color w:val="EE0000"/>
                <w:spacing w:val="-5"/>
                <w:sz w:val="18"/>
              </w:rPr>
              <w:t>2%</w:t>
            </w:r>
          </w:p>
        </w:tc>
        <w:tc>
          <w:tcPr>
            <w:tcW w:w="1417" w:type="dxa"/>
          </w:tcPr>
          <w:p w14:paraId="067F7151" w14:textId="77777777" w:rsidR="00B21624" w:rsidRPr="00B21624" w:rsidRDefault="00B21624" w:rsidP="00B21624">
            <w:pPr>
              <w:spacing w:before="86" w:line="254" w:lineRule="auto"/>
              <w:ind w:left="519" w:right="207" w:hanging="298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~2–5%</w:t>
            </w:r>
            <w:r w:rsidRPr="00B21624">
              <w:rPr>
                <w:color w:val="EE0000"/>
                <w:spacing w:val="-13"/>
                <w:sz w:val="18"/>
              </w:rPr>
              <w:t xml:space="preserve"> </w:t>
            </w:r>
            <w:r w:rsidRPr="00B21624">
              <w:rPr>
                <w:color w:val="EE0000"/>
                <w:sz w:val="18"/>
              </w:rPr>
              <w:t xml:space="preserve">(real </w:t>
            </w:r>
            <w:r w:rsidRPr="00B21624">
              <w:rPr>
                <w:color w:val="EE0000"/>
                <w:spacing w:val="-2"/>
                <w:sz w:val="18"/>
              </w:rPr>
              <w:t>loss)</w:t>
            </w:r>
          </w:p>
        </w:tc>
      </w:tr>
      <w:tr w:rsidR="00B21624" w:rsidRPr="00B21624" w14:paraId="4E4E11BC" w14:textId="77777777" w:rsidTr="00C43877">
        <w:trPr>
          <w:trHeight w:val="590"/>
        </w:trPr>
        <w:tc>
          <w:tcPr>
            <w:tcW w:w="1814" w:type="dxa"/>
            <w:shd w:val="clear" w:color="auto" w:fill="F7F9F9"/>
          </w:tcPr>
          <w:p w14:paraId="21BB0F00" w14:textId="77777777" w:rsidR="00B21624" w:rsidRPr="00B21624" w:rsidRDefault="00B21624" w:rsidP="00B21624">
            <w:pPr>
              <w:spacing w:before="86" w:line="254" w:lineRule="auto"/>
              <w:ind w:left="120" w:right="195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Annualised</w:t>
            </w:r>
            <w:r w:rsidRPr="00B21624">
              <w:rPr>
                <w:color w:val="EE0000"/>
                <w:spacing w:val="-13"/>
                <w:sz w:val="18"/>
              </w:rPr>
              <w:t xml:space="preserve"> </w:t>
            </w:r>
            <w:r w:rsidRPr="00B21624">
              <w:rPr>
                <w:color w:val="EE0000"/>
                <w:sz w:val="18"/>
              </w:rPr>
              <w:t xml:space="preserve">default </w:t>
            </w:r>
            <w:r w:rsidRPr="00B21624">
              <w:rPr>
                <w:color w:val="EE0000"/>
                <w:spacing w:val="-4"/>
                <w:sz w:val="18"/>
              </w:rPr>
              <w:t>rate</w:t>
            </w:r>
          </w:p>
        </w:tc>
        <w:tc>
          <w:tcPr>
            <w:tcW w:w="1247" w:type="dxa"/>
            <w:shd w:val="clear" w:color="auto" w:fill="F7F9F9"/>
          </w:tcPr>
          <w:p w14:paraId="203B255B" w14:textId="77777777" w:rsidR="00B21624" w:rsidRPr="00B21624" w:rsidRDefault="00B21624" w:rsidP="00B21624">
            <w:pPr>
              <w:spacing w:before="196"/>
              <w:ind w:left="12" w:right="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pacing w:val="-2"/>
                <w:sz w:val="18"/>
              </w:rPr>
              <w:t>0.04%</w:t>
            </w:r>
          </w:p>
        </w:tc>
        <w:tc>
          <w:tcPr>
            <w:tcW w:w="1417" w:type="dxa"/>
            <w:shd w:val="clear" w:color="auto" w:fill="F7F9F9"/>
          </w:tcPr>
          <w:p w14:paraId="1814C9EF" w14:textId="77777777" w:rsidR="00B21624" w:rsidRPr="00B21624" w:rsidRDefault="00B21624" w:rsidP="00B21624">
            <w:pPr>
              <w:spacing w:before="196"/>
              <w:ind w:left="13" w:right="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0.10–</w:t>
            </w:r>
            <w:r w:rsidRPr="00B21624">
              <w:rPr>
                <w:color w:val="EE0000"/>
                <w:spacing w:val="-2"/>
                <w:sz w:val="18"/>
              </w:rPr>
              <w:t>0.17%</w:t>
            </w:r>
          </w:p>
        </w:tc>
        <w:tc>
          <w:tcPr>
            <w:tcW w:w="1247" w:type="dxa"/>
            <w:shd w:val="clear" w:color="auto" w:fill="F7F9F9"/>
          </w:tcPr>
          <w:p w14:paraId="7093A04D" w14:textId="77777777" w:rsidR="00B21624" w:rsidRPr="00B21624" w:rsidRDefault="00B21624" w:rsidP="00B21624">
            <w:pPr>
              <w:spacing w:before="196"/>
              <w:ind w:left="12" w:right="1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pacing w:val="-2"/>
                <w:sz w:val="18"/>
              </w:rPr>
              <w:t>~0.05%</w:t>
            </w:r>
          </w:p>
        </w:tc>
        <w:tc>
          <w:tcPr>
            <w:tcW w:w="1247" w:type="dxa"/>
            <w:shd w:val="clear" w:color="auto" w:fill="F7F9F9"/>
          </w:tcPr>
          <w:p w14:paraId="6A7998F0" w14:textId="77777777" w:rsidR="00B21624" w:rsidRPr="00B21624" w:rsidRDefault="00B21624" w:rsidP="00B21624">
            <w:pPr>
              <w:spacing w:before="86"/>
              <w:ind w:left="1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~0.03–</w:t>
            </w:r>
            <w:r w:rsidRPr="00B21624">
              <w:rPr>
                <w:color w:val="EE0000"/>
                <w:spacing w:val="-4"/>
                <w:sz w:val="18"/>
              </w:rPr>
              <w:t>0.07</w:t>
            </w:r>
          </w:p>
          <w:p w14:paraId="55ED2FD7" w14:textId="77777777" w:rsidR="00B21624" w:rsidRPr="00B21624" w:rsidRDefault="00B21624" w:rsidP="00B21624">
            <w:pPr>
              <w:spacing w:before="13"/>
              <w:ind w:left="1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pacing w:val="-10"/>
                <w:sz w:val="18"/>
              </w:rPr>
              <w:t>%</w:t>
            </w:r>
          </w:p>
        </w:tc>
        <w:tc>
          <w:tcPr>
            <w:tcW w:w="1417" w:type="dxa"/>
            <w:shd w:val="clear" w:color="auto" w:fill="F7F9F9"/>
          </w:tcPr>
          <w:p w14:paraId="0751203A" w14:textId="77777777" w:rsidR="00B21624" w:rsidRPr="00B21624" w:rsidRDefault="00B21624" w:rsidP="00B21624">
            <w:pPr>
              <w:spacing w:before="196"/>
              <w:ind w:left="13" w:right="1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pacing w:val="-5"/>
                <w:sz w:val="18"/>
              </w:rPr>
              <w:t>n/a</w:t>
            </w:r>
          </w:p>
        </w:tc>
      </w:tr>
      <w:tr w:rsidR="00B21624" w:rsidRPr="00B21624" w14:paraId="268A631A" w14:textId="77777777" w:rsidTr="00C43877">
        <w:trPr>
          <w:trHeight w:val="590"/>
        </w:trPr>
        <w:tc>
          <w:tcPr>
            <w:tcW w:w="1814" w:type="dxa"/>
          </w:tcPr>
          <w:p w14:paraId="240B29C6" w14:textId="77777777" w:rsidR="00B21624" w:rsidRPr="00B21624" w:rsidRDefault="00B21624" w:rsidP="00B21624">
            <w:pPr>
              <w:spacing w:before="86" w:line="254" w:lineRule="auto"/>
              <w:ind w:left="120" w:right="626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Loss</w:t>
            </w:r>
            <w:r w:rsidRPr="00B21624">
              <w:rPr>
                <w:color w:val="EE0000"/>
                <w:spacing w:val="-13"/>
                <w:sz w:val="18"/>
              </w:rPr>
              <w:t xml:space="preserve"> </w:t>
            </w:r>
            <w:r w:rsidRPr="00B21624">
              <w:rPr>
                <w:color w:val="EE0000"/>
                <w:sz w:val="18"/>
              </w:rPr>
              <w:t xml:space="preserve">severity </w:t>
            </w:r>
            <w:r w:rsidRPr="00B21624">
              <w:rPr>
                <w:color w:val="EE0000"/>
                <w:spacing w:val="-2"/>
                <w:sz w:val="18"/>
              </w:rPr>
              <w:t>(LGD)</w:t>
            </w:r>
          </w:p>
        </w:tc>
        <w:tc>
          <w:tcPr>
            <w:tcW w:w="1247" w:type="dxa"/>
          </w:tcPr>
          <w:p w14:paraId="5B4E478D" w14:textId="77777777" w:rsidR="00B21624" w:rsidRPr="00B21624" w:rsidRDefault="00B21624" w:rsidP="00B21624">
            <w:pPr>
              <w:spacing w:before="86" w:line="254" w:lineRule="auto"/>
              <w:ind w:left="428" w:right="274" w:hanging="138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~21%</w:t>
            </w:r>
            <w:r w:rsidRPr="00B21624">
              <w:rPr>
                <w:color w:val="EE0000"/>
                <w:spacing w:val="-13"/>
                <w:sz w:val="18"/>
              </w:rPr>
              <w:t xml:space="preserve"> </w:t>
            </w:r>
            <w:r w:rsidRPr="00B21624">
              <w:rPr>
                <w:color w:val="EE0000"/>
                <w:sz w:val="18"/>
              </w:rPr>
              <w:t xml:space="preserve">of </w:t>
            </w:r>
            <w:r w:rsidRPr="00B21624">
              <w:rPr>
                <w:color w:val="EE0000"/>
                <w:spacing w:val="-4"/>
                <w:sz w:val="18"/>
              </w:rPr>
              <w:t>peak</w:t>
            </w:r>
          </w:p>
        </w:tc>
        <w:tc>
          <w:tcPr>
            <w:tcW w:w="1417" w:type="dxa"/>
          </w:tcPr>
          <w:p w14:paraId="651BD605" w14:textId="77777777" w:rsidR="00B21624" w:rsidRPr="00B21624" w:rsidRDefault="00B21624" w:rsidP="00B21624">
            <w:pPr>
              <w:spacing w:before="196"/>
              <w:ind w:left="13" w:right="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20–</w:t>
            </w:r>
            <w:r w:rsidRPr="00B21624">
              <w:rPr>
                <w:color w:val="EE0000"/>
                <w:spacing w:val="-5"/>
                <w:sz w:val="18"/>
              </w:rPr>
              <w:t>40%</w:t>
            </w:r>
          </w:p>
        </w:tc>
        <w:tc>
          <w:tcPr>
            <w:tcW w:w="1247" w:type="dxa"/>
          </w:tcPr>
          <w:p w14:paraId="77EE69EF" w14:textId="77777777" w:rsidR="00B21624" w:rsidRPr="00B21624" w:rsidRDefault="00B21624" w:rsidP="00B21624">
            <w:pPr>
              <w:spacing w:before="196"/>
              <w:ind w:left="12" w:right="1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40–</w:t>
            </w:r>
            <w:r w:rsidRPr="00B21624">
              <w:rPr>
                <w:color w:val="EE0000"/>
                <w:spacing w:val="-5"/>
                <w:sz w:val="18"/>
              </w:rPr>
              <w:t>60%</w:t>
            </w:r>
          </w:p>
        </w:tc>
        <w:tc>
          <w:tcPr>
            <w:tcW w:w="1247" w:type="dxa"/>
          </w:tcPr>
          <w:p w14:paraId="1062FA27" w14:textId="77777777" w:rsidR="00B21624" w:rsidRPr="00B21624" w:rsidRDefault="00B21624" w:rsidP="00B21624">
            <w:pPr>
              <w:spacing w:before="196"/>
              <w:ind w:left="1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pacing w:val="-2"/>
                <w:sz w:val="18"/>
              </w:rPr>
              <w:t>Subord.</w:t>
            </w:r>
          </w:p>
        </w:tc>
        <w:tc>
          <w:tcPr>
            <w:tcW w:w="1417" w:type="dxa"/>
          </w:tcPr>
          <w:p w14:paraId="40235541" w14:textId="77777777" w:rsidR="00B21624" w:rsidRPr="00B21624" w:rsidRDefault="00B21624" w:rsidP="00B21624">
            <w:pPr>
              <w:spacing w:before="86" w:line="254" w:lineRule="auto"/>
              <w:ind w:left="299" w:hanging="41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Up</w:t>
            </w:r>
            <w:r w:rsidRPr="00B21624">
              <w:rPr>
                <w:color w:val="EE0000"/>
                <w:spacing w:val="-15"/>
                <w:sz w:val="18"/>
              </w:rPr>
              <w:t xml:space="preserve"> </w:t>
            </w:r>
            <w:r w:rsidRPr="00B21624">
              <w:rPr>
                <w:color w:val="EE0000"/>
                <w:sz w:val="18"/>
              </w:rPr>
              <w:t>to</w:t>
            </w:r>
            <w:r w:rsidRPr="00B21624">
              <w:rPr>
                <w:color w:val="EE0000"/>
                <w:spacing w:val="-12"/>
                <w:sz w:val="18"/>
              </w:rPr>
              <w:t xml:space="preserve"> </w:t>
            </w:r>
            <w:r w:rsidRPr="00B21624">
              <w:rPr>
                <w:color w:val="EE0000"/>
                <w:sz w:val="18"/>
              </w:rPr>
              <w:t xml:space="preserve">-86% </w:t>
            </w:r>
            <w:r w:rsidRPr="00B21624">
              <w:rPr>
                <w:color w:val="EE0000"/>
                <w:spacing w:val="-2"/>
                <w:sz w:val="18"/>
              </w:rPr>
              <w:t>drawdown</w:t>
            </w:r>
          </w:p>
        </w:tc>
      </w:tr>
      <w:tr w:rsidR="00B21624" w:rsidRPr="00B21624" w14:paraId="7C0457D5" w14:textId="77777777" w:rsidTr="00C43877">
        <w:trPr>
          <w:trHeight w:val="590"/>
        </w:trPr>
        <w:tc>
          <w:tcPr>
            <w:tcW w:w="1814" w:type="dxa"/>
            <w:shd w:val="clear" w:color="auto" w:fill="F7F9F9"/>
          </w:tcPr>
          <w:p w14:paraId="260890AC" w14:textId="77777777" w:rsidR="00B21624" w:rsidRPr="00B21624" w:rsidRDefault="00B21624" w:rsidP="00B21624">
            <w:pPr>
              <w:spacing w:before="86" w:line="254" w:lineRule="auto"/>
              <w:ind w:left="120" w:right="556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Expected</w:t>
            </w:r>
            <w:r w:rsidRPr="00B21624">
              <w:rPr>
                <w:color w:val="EE0000"/>
                <w:spacing w:val="-13"/>
                <w:sz w:val="18"/>
              </w:rPr>
              <w:t xml:space="preserve"> </w:t>
            </w:r>
            <w:r w:rsidRPr="00B21624">
              <w:rPr>
                <w:color w:val="EE0000"/>
                <w:sz w:val="18"/>
              </w:rPr>
              <w:t xml:space="preserve">loss </w:t>
            </w:r>
            <w:r w:rsidRPr="00B21624">
              <w:rPr>
                <w:color w:val="EE0000"/>
                <w:spacing w:val="-2"/>
                <w:sz w:val="18"/>
              </w:rPr>
              <w:t>(30yr)</w:t>
            </w:r>
          </w:p>
        </w:tc>
        <w:tc>
          <w:tcPr>
            <w:tcW w:w="1247" w:type="dxa"/>
            <w:shd w:val="clear" w:color="auto" w:fill="F7F9F9"/>
          </w:tcPr>
          <w:p w14:paraId="31A2E11D" w14:textId="77777777" w:rsidR="00B21624" w:rsidRPr="00B21624" w:rsidRDefault="00B21624" w:rsidP="00B21624">
            <w:pPr>
              <w:spacing w:before="196"/>
              <w:ind w:left="12" w:right="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pacing w:val="-2"/>
                <w:sz w:val="18"/>
              </w:rPr>
              <w:t>0.13%</w:t>
            </w:r>
          </w:p>
        </w:tc>
        <w:tc>
          <w:tcPr>
            <w:tcW w:w="1417" w:type="dxa"/>
            <w:shd w:val="clear" w:color="auto" w:fill="F7F9F9"/>
          </w:tcPr>
          <w:p w14:paraId="50A2EC14" w14:textId="77777777" w:rsidR="00B21624" w:rsidRPr="00B21624" w:rsidRDefault="00B21624" w:rsidP="00B21624">
            <w:pPr>
              <w:spacing w:before="196"/>
              <w:ind w:left="13" w:right="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0.6–</w:t>
            </w:r>
            <w:r w:rsidRPr="00B21624">
              <w:rPr>
                <w:color w:val="EE0000"/>
                <w:spacing w:val="-2"/>
                <w:sz w:val="18"/>
              </w:rPr>
              <w:t>1.25%</w:t>
            </w:r>
          </w:p>
        </w:tc>
        <w:tc>
          <w:tcPr>
            <w:tcW w:w="1247" w:type="dxa"/>
            <w:shd w:val="clear" w:color="auto" w:fill="F7F9F9"/>
          </w:tcPr>
          <w:p w14:paraId="15478D3D" w14:textId="77777777" w:rsidR="00B21624" w:rsidRPr="00B21624" w:rsidRDefault="00B21624" w:rsidP="00B21624">
            <w:pPr>
              <w:spacing w:before="196"/>
              <w:ind w:left="12" w:right="1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0.6–</w:t>
            </w:r>
            <w:r w:rsidRPr="00B21624">
              <w:rPr>
                <w:color w:val="EE0000"/>
                <w:spacing w:val="-4"/>
                <w:sz w:val="18"/>
              </w:rPr>
              <w:t>0.9%</w:t>
            </w:r>
          </w:p>
        </w:tc>
        <w:tc>
          <w:tcPr>
            <w:tcW w:w="1247" w:type="dxa"/>
            <w:shd w:val="clear" w:color="auto" w:fill="F7F9F9"/>
          </w:tcPr>
          <w:p w14:paraId="75022C0F" w14:textId="77777777" w:rsidR="00B21624" w:rsidRPr="00B21624" w:rsidRDefault="00B21624" w:rsidP="00B21624">
            <w:pPr>
              <w:spacing w:before="196"/>
              <w:ind w:left="12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z w:val="18"/>
              </w:rPr>
              <w:t>0.05–</w:t>
            </w:r>
            <w:r w:rsidRPr="00B21624">
              <w:rPr>
                <w:color w:val="EE0000"/>
                <w:spacing w:val="-2"/>
                <w:sz w:val="18"/>
              </w:rPr>
              <w:t>0.15%</w:t>
            </w:r>
          </w:p>
        </w:tc>
        <w:tc>
          <w:tcPr>
            <w:tcW w:w="1417" w:type="dxa"/>
            <w:shd w:val="clear" w:color="auto" w:fill="F7F9F9"/>
          </w:tcPr>
          <w:p w14:paraId="6F611F8D" w14:textId="77777777" w:rsidR="00B21624" w:rsidRPr="00B21624" w:rsidRDefault="00B21624" w:rsidP="00B21624">
            <w:pPr>
              <w:spacing w:before="196"/>
              <w:ind w:left="13" w:right="1"/>
              <w:jc w:val="center"/>
              <w:rPr>
                <w:color w:val="EE0000"/>
                <w:sz w:val="18"/>
              </w:rPr>
            </w:pPr>
            <w:r w:rsidRPr="00B21624">
              <w:rPr>
                <w:color w:val="EE0000"/>
                <w:spacing w:val="-5"/>
                <w:sz w:val="18"/>
              </w:rPr>
              <w:t>n/a</w:t>
            </w:r>
          </w:p>
        </w:tc>
      </w:tr>
    </w:tbl>
    <w:p w14:paraId="4DAA9112" w14:textId="77777777" w:rsidR="00B21624" w:rsidRPr="00B21624" w:rsidRDefault="00B21624" w:rsidP="00B21624">
      <w:pPr>
        <w:spacing w:before="177"/>
        <w:ind w:left="262"/>
        <w:outlineLvl w:val="2"/>
        <w:rPr>
          <w:b/>
          <w:bCs/>
          <w:color w:val="EE0000"/>
          <w:sz w:val="20"/>
          <w:szCs w:val="20"/>
        </w:rPr>
      </w:pPr>
      <w:r w:rsidRPr="00B21624">
        <w:rPr>
          <w:b/>
          <w:bCs/>
          <w:color w:val="EE0000"/>
          <w:sz w:val="20"/>
          <w:szCs w:val="20"/>
        </w:rPr>
        <w:t xml:space="preserve">Actuarial Assessment of Comparative Risk </w:t>
      </w:r>
      <w:r w:rsidRPr="00B21624">
        <w:rPr>
          <w:b/>
          <w:bCs/>
          <w:color w:val="EE0000"/>
          <w:spacing w:val="-2"/>
          <w:sz w:val="20"/>
          <w:szCs w:val="20"/>
        </w:rPr>
        <w:t>Position</w:t>
      </w:r>
    </w:p>
    <w:p w14:paraId="238C41C6" w14:textId="77777777" w:rsidR="00B21624" w:rsidRPr="00B21624" w:rsidRDefault="00B21624" w:rsidP="00B21624">
      <w:pPr>
        <w:numPr>
          <w:ilvl w:val="1"/>
          <w:numId w:val="2"/>
        </w:numPr>
        <w:tabs>
          <w:tab w:val="left" w:pos="562"/>
        </w:tabs>
        <w:spacing w:before="220" w:line="271" w:lineRule="auto"/>
        <w:ind w:right="611"/>
        <w:rPr>
          <w:color w:val="EE0000"/>
          <w:sz w:val="20"/>
        </w:rPr>
      </w:pPr>
      <w:r w:rsidRPr="00B21624">
        <w:rPr>
          <w:b/>
          <w:color w:val="EE0000"/>
          <w:sz w:val="20"/>
        </w:rPr>
        <w:t>Credit</w:t>
      </w:r>
      <w:r w:rsidRPr="00B21624">
        <w:rPr>
          <w:b/>
          <w:color w:val="EE0000"/>
          <w:spacing w:val="-3"/>
          <w:sz w:val="20"/>
        </w:rPr>
        <w:t xml:space="preserve"> </w:t>
      </w:r>
      <w:r w:rsidRPr="00B21624">
        <w:rPr>
          <w:b/>
          <w:color w:val="EE0000"/>
          <w:sz w:val="20"/>
        </w:rPr>
        <w:t>quality</w:t>
      </w:r>
      <w:r w:rsidRPr="00B21624">
        <w:rPr>
          <w:b/>
          <w:color w:val="EE0000"/>
          <w:spacing w:val="-3"/>
          <w:sz w:val="20"/>
        </w:rPr>
        <w:t xml:space="preserve"> </w:t>
      </w:r>
      <w:r w:rsidRPr="00B21624">
        <w:rPr>
          <w:b/>
          <w:color w:val="EE0000"/>
          <w:sz w:val="20"/>
        </w:rPr>
        <w:t>equivalent:</w:t>
      </w:r>
      <w:r w:rsidRPr="00B21624">
        <w:rPr>
          <w:b/>
          <w:color w:val="EE0000"/>
          <w:spacing w:val="-3"/>
          <w:sz w:val="20"/>
        </w:rPr>
        <w:t xml:space="preserve"> </w:t>
      </w:r>
      <w:r w:rsidRPr="00B21624">
        <w:rPr>
          <w:b/>
          <w:color w:val="EE0000"/>
          <w:sz w:val="20"/>
        </w:rPr>
        <w:t>AA.</w:t>
      </w:r>
      <w:r w:rsidRPr="00B21624">
        <w:rPr>
          <w:b/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The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EPM's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1.2%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cumulative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PoC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places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it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between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Moody's AAA (~0.5%) and AA (~1.5%) 30-year cumulative default rates. On an expected loss basis (0.13%), the product approaches AAA territory due to the low severity (~21% of peak loan versus 40–60% for unsecured bonds).</w:t>
      </w:r>
    </w:p>
    <w:p w14:paraId="56C4016D" w14:textId="1FFC64F9" w:rsidR="00AC074D" w:rsidRDefault="00B21624" w:rsidP="00B21624">
      <w:pPr>
        <w:numPr>
          <w:ilvl w:val="1"/>
          <w:numId w:val="2"/>
        </w:numPr>
        <w:tabs>
          <w:tab w:val="left" w:pos="562"/>
        </w:tabs>
        <w:spacing w:before="114" w:line="271" w:lineRule="auto"/>
        <w:ind w:right="547"/>
        <w:rPr>
          <w:color w:val="EE0000"/>
          <w:sz w:val="20"/>
        </w:rPr>
      </w:pPr>
      <w:r w:rsidRPr="00B21624">
        <w:rPr>
          <w:b/>
          <w:color w:val="EE0000"/>
          <w:sz w:val="20"/>
        </w:rPr>
        <w:t xml:space="preserve">Superior to traditional residential lending. </w:t>
      </w:r>
      <w:r w:rsidRPr="00B21624">
        <w:rPr>
          <w:color w:val="EE0000"/>
          <w:sz w:val="20"/>
        </w:rPr>
        <w:t>Standard Australian prime mortgages carry a</w:t>
      </w:r>
      <w:r w:rsidRPr="00B21624">
        <w:rPr>
          <w:color w:val="EE0000"/>
          <w:spacing w:val="40"/>
          <w:sz w:val="20"/>
        </w:rPr>
        <w:t xml:space="preserve"> </w:t>
      </w:r>
      <w:r w:rsidRPr="00B21624">
        <w:rPr>
          <w:color w:val="EE0000"/>
          <w:sz w:val="20"/>
        </w:rPr>
        <w:t>3–5%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cumulative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default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rate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over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30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years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—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approximately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3–4×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higher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than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the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EPM.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The structural advantage is the EPM's self-correcting investment account: mean reversion limits extreme deviation, the 80/140 collar caps annual returns, the holiday mechanism suspends costs during stress periods, and the run-off mechanism eliminates prepayment risk.</w:t>
      </w:r>
    </w:p>
    <w:p w14:paraId="30BA5E9A" w14:textId="77777777" w:rsidR="00AC074D" w:rsidRDefault="00AC074D">
      <w:pPr>
        <w:rPr>
          <w:color w:val="EE0000"/>
          <w:sz w:val="20"/>
        </w:rPr>
      </w:pPr>
      <w:r>
        <w:rPr>
          <w:color w:val="EE0000"/>
          <w:sz w:val="20"/>
        </w:rPr>
        <w:br w:type="page"/>
      </w:r>
    </w:p>
    <w:p w14:paraId="31CCFC6B" w14:textId="77777777" w:rsidR="00B21624" w:rsidRPr="00B21624" w:rsidRDefault="00B21624" w:rsidP="00AC074D">
      <w:pPr>
        <w:tabs>
          <w:tab w:val="left" w:pos="562"/>
        </w:tabs>
        <w:spacing w:before="114" w:line="271" w:lineRule="auto"/>
        <w:ind w:left="562" w:right="547"/>
        <w:rPr>
          <w:color w:val="EE0000"/>
          <w:sz w:val="20"/>
        </w:rPr>
      </w:pPr>
    </w:p>
    <w:p w14:paraId="38778ACA" w14:textId="77777777" w:rsidR="00B21624" w:rsidRPr="00B21624" w:rsidRDefault="00B21624" w:rsidP="00B21624">
      <w:pPr>
        <w:numPr>
          <w:ilvl w:val="1"/>
          <w:numId w:val="2"/>
        </w:numPr>
        <w:tabs>
          <w:tab w:val="left" w:pos="562"/>
        </w:tabs>
        <w:spacing w:before="114" w:line="271" w:lineRule="auto"/>
        <w:ind w:right="388"/>
        <w:rPr>
          <w:color w:val="EE0000"/>
          <w:sz w:val="20"/>
        </w:rPr>
      </w:pPr>
      <w:r w:rsidRPr="00B21624">
        <w:rPr>
          <w:b/>
          <w:color w:val="EE0000"/>
          <w:sz w:val="20"/>
        </w:rPr>
        <w:t>Risk</w:t>
      </w:r>
      <w:r w:rsidRPr="00B21624">
        <w:rPr>
          <w:b/>
          <w:color w:val="EE0000"/>
          <w:spacing w:val="-3"/>
          <w:sz w:val="20"/>
        </w:rPr>
        <w:t xml:space="preserve"> </w:t>
      </w:r>
      <w:r w:rsidRPr="00B21624">
        <w:rPr>
          <w:b/>
          <w:color w:val="EE0000"/>
          <w:sz w:val="20"/>
        </w:rPr>
        <w:t>driver</w:t>
      </w:r>
      <w:r w:rsidRPr="00B21624">
        <w:rPr>
          <w:b/>
          <w:color w:val="EE0000"/>
          <w:spacing w:val="-3"/>
          <w:sz w:val="20"/>
        </w:rPr>
        <w:t xml:space="preserve"> </w:t>
      </w:r>
      <w:r w:rsidRPr="00B21624">
        <w:rPr>
          <w:b/>
          <w:color w:val="EE0000"/>
          <w:sz w:val="20"/>
        </w:rPr>
        <w:t>is</w:t>
      </w:r>
      <w:r w:rsidRPr="00B21624">
        <w:rPr>
          <w:b/>
          <w:color w:val="EE0000"/>
          <w:spacing w:val="-3"/>
          <w:sz w:val="20"/>
        </w:rPr>
        <w:t xml:space="preserve"> </w:t>
      </w:r>
      <w:r w:rsidRPr="00B21624">
        <w:rPr>
          <w:b/>
          <w:color w:val="EE0000"/>
          <w:sz w:val="20"/>
        </w:rPr>
        <w:t>fundamentally</w:t>
      </w:r>
      <w:r w:rsidRPr="00B21624">
        <w:rPr>
          <w:b/>
          <w:color w:val="EE0000"/>
          <w:spacing w:val="-3"/>
          <w:sz w:val="20"/>
        </w:rPr>
        <w:t xml:space="preserve"> </w:t>
      </w:r>
      <w:r w:rsidRPr="00B21624">
        <w:rPr>
          <w:b/>
          <w:color w:val="EE0000"/>
          <w:sz w:val="20"/>
        </w:rPr>
        <w:t>different.</w:t>
      </w:r>
      <w:r w:rsidRPr="00B21624">
        <w:rPr>
          <w:b/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Traditional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mortgage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default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risk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is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driven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by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 xml:space="preserve">borrower income, employment, and interest rate affordability. EPM risk is driven by long-term equity market performance relative to interest rates. These risk factors are largely uncorrelated over 30-year horizons, which has important implications for portfolio construction and reinsurance </w:t>
      </w:r>
      <w:r w:rsidRPr="00B21624">
        <w:rPr>
          <w:color w:val="EE0000"/>
          <w:spacing w:val="-2"/>
          <w:sz w:val="20"/>
        </w:rPr>
        <w:t>diversification.</w:t>
      </w:r>
    </w:p>
    <w:p w14:paraId="4956DD06" w14:textId="3791318A" w:rsidR="0016686F" w:rsidRDefault="00B21624" w:rsidP="0016686F">
      <w:pPr>
        <w:numPr>
          <w:ilvl w:val="1"/>
          <w:numId w:val="2"/>
        </w:numPr>
        <w:tabs>
          <w:tab w:val="left" w:pos="562"/>
        </w:tabs>
        <w:spacing w:before="114" w:line="271" w:lineRule="auto"/>
        <w:ind w:right="331"/>
        <w:rPr>
          <w:color w:val="EE0000"/>
          <w:sz w:val="20"/>
        </w:rPr>
      </w:pPr>
      <w:r w:rsidRPr="00B21624">
        <w:rPr>
          <w:b/>
          <w:color w:val="EE0000"/>
          <w:sz w:val="20"/>
        </w:rPr>
        <w:t xml:space="preserve">Structural protections are conservative. </w:t>
      </w:r>
      <w:r w:rsidRPr="00B21624">
        <w:rPr>
          <w:color w:val="EE0000"/>
          <w:sz w:val="20"/>
        </w:rPr>
        <w:t>The combination of mean-reverting equity model, collar hedging, holiday mechanism, P&amp;I; amortisation, and full insurance coverage from $0 represents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a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multi-layered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protection</w:t>
      </w:r>
      <w:r w:rsidRPr="00B21624">
        <w:rPr>
          <w:color w:val="EE0000"/>
          <w:spacing w:val="-3"/>
          <w:sz w:val="20"/>
        </w:rPr>
        <w:t xml:space="preserve"> </w:t>
      </w:r>
      <w:r w:rsidRPr="00B21624">
        <w:rPr>
          <w:color w:val="EE0000"/>
          <w:sz w:val="20"/>
        </w:rPr>
        <w:t>framework.</w:t>
      </w:r>
      <w:r w:rsidRPr="00B21624">
        <w:rPr>
          <w:color w:val="EE0000"/>
          <w:spacing w:val="-3"/>
          <w:sz w:val="20"/>
        </w:rPr>
        <w:t xml:space="preserve"> </w:t>
      </w:r>
    </w:p>
    <w:p w14:paraId="4F82DE0E" w14:textId="77777777" w:rsidR="0016686F" w:rsidRPr="0016686F" w:rsidRDefault="0016686F" w:rsidP="0016686F">
      <w:pPr>
        <w:tabs>
          <w:tab w:val="left" w:pos="562"/>
        </w:tabs>
        <w:spacing w:before="114" w:line="271" w:lineRule="auto"/>
        <w:ind w:left="562" w:right="331"/>
        <w:rPr>
          <w:color w:val="EE0000"/>
          <w:sz w:val="20"/>
        </w:rPr>
      </w:pPr>
    </w:p>
    <w:p w14:paraId="6BE36737" w14:textId="08482468" w:rsidR="00B21624" w:rsidRPr="0016686F" w:rsidRDefault="00B21624" w:rsidP="00B21624">
      <w:pPr>
        <w:numPr>
          <w:ilvl w:val="1"/>
          <w:numId w:val="2"/>
        </w:numPr>
        <w:tabs>
          <w:tab w:val="left" w:pos="562"/>
        </w:tabs>
        <w:spacing w:before="1" w:line="271" w:lineRule="auto"/>
        <w:ind w:right="331"/>
        <w:rPr>
          <w:color w:val="EE0000"/>
          <w:sz w:val="20"/>
          <w:szCs w:val="20"/>
        </w:rPr>
      </w:pPr>
      <w:r w:rsidRPr="0016686F">
        <w:rPr>
          <w:color w:val="EE0000"/>
          <w:sz w:val="20"/>
        </w:rPr>
        <w:t>No</w:t>
      </w:r>
      <w:r w:rsidRPr="0016686F">
        <w:rPr>
          <w:color w:val="EE0000"/>
          <w:spacing w:val="-3"/>
          <w:sz w:val="20"/>
        </w:rPr>
        <w:t xml:space="preserve"> </w:t>
      </w:r>
      <w:r w:rsidRPr="0016686F">
        <w:rPr>
          <w:color w:val="EE0000"/>
          <w:sz w:val="20"/>
        </w:rPr>
        <w:t>single</w:t>
      </w:r>
      <w:r w:rsidRPr="0016686F">
        <w:rPr>
          <w:color w:val="EE0000"/>
          <w:spacing w:val="-3"/>
          <w:sz w:val="20"/>
        </w:rPr>
        <w:t xml:space="preserve"> </w:t>
      </w:r>
      <w:r w:rsidRPr="0016686F">
        <w:rPr>
          <w:color w:val="EE0000"/>
          <w:sz w:val="20"/>
        </w:rPr>
        <w:t>parameter</w:t>
      </w:r>
      <w:r w:rsidRPr="0016686F">
        <w:rPr>
          <w:color w:val="EE0000"/>
          <w:spacing w:val="-3"/>
          <w:sz w:val="20"/>
        </w:rPr>
        <w:t xml:space="preserve"> </w:t>
      </w:r>
      <w:r w:rsidRPr="0016686F">
        <w:rPr>
          <w:color w:val="EE0000"/>
          <w:sz w:val="20"/>
        </w:rPr>
        <w:t>failure</w:t>
      </w:r>
      <w:r w:rsidRPr="0016686F">
        <w:rPr>
          <w:color w:val="EE0000"/>
          <w:spacing w:val="-3"/>
          <w:sz w:val="20"/>
        </w:rPr>
        <w:t xml:space="preserve"> </w:t>
      </w:r>
      <w:r w:rsidRPr="0016686F">
        <w:rPr>
          <w:color w:val="EE0000"/>
          <w:sz w:val="20"/>
        </w:rPr>
        <w:t>can</w:t>
      </w:r>
      <w:r w:rsidRPr="0016686F">
        <w:rPr>
          <w:color w:val="EE0000"/>
          <w:spacing w:val="-3"/>
          <w:sz w:val="20"/>
        </w:rPr>
        <w:t xml:space="preserve"> </w:t>
      </w:r>
      <w:r w:rsidRPr="0016686F">
        <w:rPr>
          <w:color w:val="EE0000"/>
          <w:sz w:val="20"/>
        </w:rPr>
        <w:t>cause</w:t>
      </w:r>
      <w:r w:rsidRPr="0016686F">
        <w:rPr>
          <w:color w:val="EE0000"/>
          <w:spacing w:val="-3"/>
          <w:sz w:val="20"/>
        </w:rPr>
        <w:t xml:space="preserve"> </w:t>
      </w:r>
      <w:r w:rsidRPr="0016686F">
        <w:rPr>
          <w:color w:val="EE0000"/>
          <w:sz w:val="20"/>
        </w:rPr>
        <w:t>a</w:t>
      </w:r>
      <w:r w:rsidRPr="0016686F">
        <w:rPr>
          <w:color w:val="EE0000"/>
          <w:spacing w:val="-3"/>
          <w:sz w:val="20"/>
        </w:rPr>
        <w:t xml:space="preserve"> </w:t>
      </w:r>
      <w:r w:rsidRPr="0016686F">
        <w:rPr>
          <w:color w:val="EE0000"/>
          <w:sz w:val="20"/>
        </w:rPr>
        <w:t>deficit</w:t>
      </w:r>
      <w:r w:rsidR="0016686F" w:rsidRPr="0016686F">
        <w:rPr>
          <w:color w:val="EE0000"/>
          <w:sz w:val="20"/>
        </w:rPr>
        <w:t xml:space="preserve"> </w:t>
      </w:r>
      <w:r w:rsidRPr="0016686F">
        <w:rPr>
          <w:color w:val="EE0000"/>
          <w:sz w:val="20"/>
          <w:szCs w:val="20"/>
        </w:rPr>
        <w:t xml:space="preserve">— multiple adverse conditions must coincide over the full 30-year </w:t>
      </w:r>
      <w:r w:rsidRPr="0016686F">
        <w:rPr>
          <w:color w:val="EE0000"/>
          <w:spacing w:val="-2"/>
          <w:sz w:val="20"/>
          <w:szCs w:val="20"/>
        </w:rPr>
        <w:t>term.</w:t>
      </w:r>
    </w:p>
    <w:p w14:paraId="1FF4C382" w14:textId="77777777" w:rsidR="00B21624" w:rsidRDefault="00B21624">
      <w:pPr>
        <w:pStyle w:val="Heading1"/>
        <w:jc w:val="left"/>
        <w:rPr>
          <w:color w:val="2B3D4F"/>
          <w:spacing w:val="-2"/>
        </w:rPr>
      </w:pPr>
    </w:p>
    <w:p w14:paraId="07AD9B17" w14:textId="77777777" w:rsidR="00B21624" w:rsidRDefault="00B21624">
      <w:pPr>
        <w:pStyle w:val="Heading1"/>
        <w:jc w:val="left"/>
        <w:rPr>
          <w:color w:val="2B3D4F"/>
          <w:spacing w:val="-2"/>
        </w:rPr>
      </w:pPr>
    </w:p>
    <w:p w14:paraId="5A528C56" w14:textId="0BFD18D0" w:rsidR="0037691D" w:rsidRDefault="0068374F">
      <w:pPr>
        <w:pStyle w:val="Heading1"/>
        <w:jc w:val="left"/>
      </w:pPr>
      <w:r>
        <w:rPr>
          <w:color w:val="2B3D4F"/>
          <w:spacing w:val="-2"/>
        </w:rPr>
        <w:t>Conclusion</w:t>
      </w:r>
    </w:p>
    <w:p w14:paraId="5A528C57" w14:textId="620C5399" w:rsidR="0037691D" w:rsidRDefault="0068374F">
      <w:pPr>
        <w:pStyle w:val="BodyText"/>
        <w:spacing w:before="242" w:line="292" w:lineRule="auto"/>
        <w:ind w:right="259"/>
      </w:pPr>
      <w:r>
        <w:rPr>
          <w:color w:val="2B3D4F"/>
        </w:rPr>
        <w:t>The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v14c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Optimised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model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is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structurally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sound.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The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Monte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Carlo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engine,</w:t>
      </w:r>
      <w:r>
        <w:rPr>
          <w:color w:val="2B3D4F"/>
          <w:spacing w:val="40"/>
        </w:rPr>
        <w:t xml:space="preserve">  </w:t>
      </w:r>
      <w:r>
        <w:rPr>
          <w:color w:val="2B3D4F"/>
        </w:rPr>
        <w:t>the GBM-with-Stochastic-Drift-plus-Mean-Reversion equity process, the Ornstein-Uhlenbeck cash-rate model, and the treatment of the asymmetric index collar, holiday mechanism, P&amp;I; amortisation and insurance layers are implemented correctly and consistently.</w:t>
      </w:r>
    </w:p>
    <w:p w14:paraId="5A528C58" w14:textId="46B70FF4" w:rsidR="0037691D" w:rsidRDefault="0068374F">
      <w:pPr>
        <w:pStyle w:val="BodyText"/>
        <w:spacing w:before="168" w:line="292" w:lineRule="auto"/>
        <w:ind w:right="259"/>
      </w:pPr>
      <w:r>
        <w:rPr>
          <w:color w:val="2B3D4F"/>
        </w:rPr>
        <w:t>At the Optimised parameter set and 50,000 simulated paths, PoC = 2.75% with standard error 0.07%.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LMI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priced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conservatively: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upfront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charge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of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$9,600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2.0×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fair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loaded</w:t>
      </w:r>
      <w:r>
        <w:rPr>
          <w:color w:val="2B3D4F"/>
          <w:spacing w:val="2"/>
        </w:rPr>
        <w:t xml:space="preserve"> </w:t>
      </w:r>
      <w:r>
        <w:rPr>
          <w:color w:val="2B3D4F"/>
        </w:rPr>
        <w:t>premium</w:t>
      </w:r>
      <w:r>
        <w:rPr>
          <w:color w:val="2B3D4F"/>
          <w:spacing w:val="2"/>
        </w:rPr>
        <w:t xml:space="preserve"> </w:t>
      </w:r>
      <w:r>
        <w:rPr>
          <w:color w:val="2B3D4F"/>
          <w:spacing w:val="-5"/>
        </w:rPr>
        <w:t>of</w:t>
      </w:r>
    </w:p>
    <w:p w14:paraId="5A528C59" w14:textId="072C46A5" w:rsidR="0037691D" w:rsidRDefault="0068374F">
      <w:pPr>
        <w:pStyle w:val="BodyText"/>
        <w:spacing w:line="229" w:lineRule="exact"/>
      </w:pPr>
      <w:r>
        <w:rPr>
          <w:color w:val="2B3D4F"/>
        </w:rPr>
        <w:t xml:space="preserve">$4,863. The tail-risk layer (PoC 0.55%) is small and separately </w:t>
      </w:r>
      <w:r>
        <w:rPr>
          <w:color w:val="2B3D4F"/>
          <w:spacing w:val="-2"/>
        </w:rPr>
        <w:t>priced.</w:t>
      </w:r>
    </w:p>
    <w:p w14:paraId="5A528C5A" w14:textId="3CAAC2D2" w:rsidR="0037691D" w:rsidRDefault="005E5CD7">
      <w:pPr>
        <w:pStyle w:val="BodyText"/>
        <w:spacing w:before="207" w:line="276" w:lineRule="auto"/>
        <w:ind w:right="259"/>
        <w:rPr>
          <w:color w:val="2B3D4F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528C6B" wp14:editId="2161EE58">
                <wp:simplePos x="0" y="0"/>
                <wp:positionH relativeFrom="page">
                  <wp:posOffset>1001395</wp:posOffset>
                </wp:positionH>
                <wp:positionV relativeFrom="paragraph">
                  <wp:posOffset>1367129</wp:posOffset>
                </wp:positionV>
                <wp:extent cx="5633085" cy="12954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3085" cy="1295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3497A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528C76" w14:textId="77777777" w:rsidR="0037691D" w:rsidRDefault="0068374F">
                            <w:pPr>
                              <w:spacing w:before="123" w:line="280" w:lineRule="auto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B3D4F"/>
                              </w:rPr>
                              <w:t>Recommendation.</w:t>
                            </w:r>
                            <w:r>
                              <w:rPr>
                                <w:b/>
                                <w:color w:val="2B3D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Adopt</w:t>
                            </w:r>
                            <w:r>
                              <w:rPr>
                                <w:b/>
                                <w:color w:val="2B3D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B3D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v14c</w:t>
                            </w:r>
                            <w:r>
                              <w:rPr>
                                <w:b/>
                                <w:color w:val="2B3D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Optimised</w:t>
                            </w:r>
                            <w:r>
                              <w:rPr>
                                <w:b/>
                                <w:color w:val="2B3D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parameter</w:t>
                            </w:r>
                            <w:r>
                              <w:rPr>
                                <w:b/>
                                <w:color w:val="2B3D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set</w:t>
                            </w:r>
                            <w:r>
                              <w:rPr>
                                <w:b/>
                                <w:color w:val="2B3D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B3D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production</w:t>
                            </w:r>
                            <w:r>
                              <w:rPr>
                                <w:b/>
                                <w:color w:val="2B3D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pricing with the following disclosures</w:t>
                            </w:r>
                            <w:r w:rsidRPr="002F4593">
                              <w:rPr>
                                <w:b/>
                                <w:strike/>
                                <w:color w:val="2B3D4F"/>
                              </w:rPr>
                              <w:t xml:space="preserve"> in investor and reinsurer materials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 xml:space="preserve">: (i) PoC is reported with SE; (ii)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</w:rPr>
                              <w:t></w:t>
                            </w:r>
                            <w:r>
                              <w:rPr>
                                <w:rFonts w:ascii="Times New Roman" w:hAnsi="Times New Roman"/>
                                <w:color w:val="2B3D4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 xml:space="preserve">and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</w:rPr>
                              <w:t></w:t>
                            </w:r>
                            <w:r>
                              <w:rPr>
                                <w:rFonts w:ascii="Times New Roman" w:hAnsi="Times New Roman"/>
                                <w:color w:val="2B3D4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 xml:space="preserve">sensitivity tables accompany the headline; (iii) </w:t>
                            </w:r>
                            <w:r>
                              <w:rPr>
                                <w:rFonts w:ascii="Symbol" w:hAnsi="Symbol"/>
                                <w:color w:val="2B3D4F"/>
                              </w:rPr>
                              <w:t></w:t>
                            </w:r>
                            <w:r>
                              <w:rPr>
                                <w:rFonts w:ascii="Times New Roman" w:hAnsi="Times New Roman"/>
                                <w:color w:val="2B3D4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B3D4F"/>
                              </w:rPr>
                              <w:t>= 0 (pure GBM) is disclosed as the conservative lower bound on structural reversion assumptions; (iv) MLE parameter refresh is committed to annually, with PoC</w:t>
                            </w:r>
                          </w:p>
                          <w:p w14:paraId="5A528C77" w14:textId="77777777" w:rsidR="0037691D" w:rsidRDefault="0068374F">
                            <w:pPr>
                              <w:spacing w:before="1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B3D4F"/>
                              </w:rPr>
                              <w:t xml:space="preserve">re-priced and capital held against the revised </w:t>
                            </w:r>
                            <w:r>
                              <w:rPr>
                                <w:b/>
                                <w:color w:val="2B3D4F"/>
                                <w:spacing w:val="-2"/>
                              </w:rPr>
                              <w:t>estimate.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28C6B" id="Textbox 11" o:spid="_x0000_s1030" type="#_x0000_t202" style="position:absolute;left:0;text-align:left;margin-left:78.85pt;margin-top:107.65pt;width:443.55pt;height:10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" filled="f" strokecolor="#3497a8" strokeweight="1pt">
                <v:path arrowok="t"/>
                <v:textbox inset="0,0,0,0">
                  <w:txbxContent>
                    <w:p w14:paraId="5A528C76" w14:textId="77777777" w:rsidR="0037691D" w:rsidRDefault="0068374F">
                      <w:pPr>
                        <w:spacing w:before="123" w:line="280" w:lineRule="auto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color w:val="2B3D4F"/>
                        </w:rPr>
                        <w:t>Recommendation.</w:t>
                      </w:r>
                      <w:r>
                        <w:rPr>
                          <w:b/>
                          <w:color w:val="2B3D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Adopt</w:t>
                      </w:r>
                      <w:r>
                        <w:rPr>
                          <w:b/>
                          <w:color w:val="2B3D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the</w:t>
                      </w:r>
                      <w:r>
                        <w:rPr>
                          <w:b/>
                          <w:color w:val="2B3D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v14c</w:t>
                      </w:r>
                      <w:r>
                        <w:rPr>
                          <w:b/>
                          <w:color w:val="2B3D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Optimised</w:t>
                      </w:r>
                      <w:r>
                        <w:rPr>
                          <w:b/>
                          <w:color w:val="2B3D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parameter</w:t>
                      </w:r>
                      <w:r>
                        <w:rPr>
                          <w:b/>
                          <w:color w:val="2B3D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set</w:t>
                      </w:r>
                      <w:r>
                        <w:rPr>
                          <w:b/>
                          <w:color w:val="2B3D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for</w:t>
                      </w:r>
                      <w:r>
                        <w:rPr>
                          <w:b/>
                          <w:color w:val="2B3D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production</w:t>
                      </w:r>
                      <w:r>
                        <w:rPr>
                          <w:b/>
                          <w:color w:val="2B3D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pricing with the following disclosures</w:t>
                      </w:r>
                      <w:r w:rsidRPr="002F4593">
                        <w:rPr>
                          <w:b/>
                          <w:strike/>
                          <w:color w:val="2B3D4F"/>
                        </w:rPr>
                        <w:t xml:space="preserve"> in investor and reinsurer materials</w:t>
                      </w:r>
                      <w:r>
                        <w:rPr>
                          <w:b/>
                          <w:color w:val="2B3D4F"/>
                        </w:rPr>
                        <w:t xml:space="preserve">: (i) PoC is reported with SE; (ii) </w:t>
                      </w:r>
                      <w:r>
                        <w:rPr>
                          <w:rFonts w:ascii="Symbol" w:hAnsi="Symbol"/>
                          <w:color w:val="2B3D4F"/>
                        </w:rPr>
                        <w:t></w:t>
                      </w:r>
                      <w:r>
                        <w:rPr>
                          <w:rFonts w:ascii="Times New Roman" w:hAnsi="Times New Roman"/>
                          <w:color w:val="2B3D4F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 xml:space="preserve">and </w:t>
                      </w:r>
                      <w:r>
                        <w:rPr>
                          <w:rFonts w:ascii="Symbol" w:hAnsi="Symbol"/>
                          <w:color w:val="2B3D4F"/>
                        </w:rPr>
                        <w:t></w:t>
                      </w:r>
                      <w:r>
                        <w:rPr>
                          <w:rFonts w:ascii="Times New Roman" w:hAnsi="Times New Roman"/>
                          <w:color w:val="2B3D4F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 xml:space="preserve">sensitivity tables accompany the headline; (iii) </w:t>
                      </w:r>
                      <w:r>
                        <w:rPr>
                          <w:rFonts w:ascii="Symbol" w:hAnsi="Symbol"/>
                          <w:color w:val="2B3D4F"/>
                        </w:rPr>
                        <w:t></w:t>
                      </w:r>
                      <w:r>
                        <w:rPr>
                          <w:rFonts w:ascii="Times New Roman" w:hAnsi="Times New Roman"/>
                          <w:color w:val="2B3D4F"/>
                        </w:rPr>
                        <w:t xml:space="preserve"> </w:t>
                      </w:r>
                      <w:r>
                        <w:rPr>
                          <w:b/>
                          <w:color w:val="2B3D4F"/>
                        </w:rPr>
                        <w:t>= 0 (pure GBM) is disclosed as the conservative lower bound on structural reversion assumptions; (iv) MLE parameter refresh is committed to annually, with PoC</w:t>
                      </w:r>
                    </w:p>
                    <w:p w14:paraId="5A528C77" w14:textId="77777777" w:rsidR="0037691D" w:rsidRDefault="0068374F">
                      <w:pPr>
                        <w:spacing w:before="1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color w:val="2B3D4F"/>
                        </w:rPr>
                        <w:t xml:space="preserve">re-priced and capital held against the revised </w:t>
                      </w:r>
                      <w:r>
                        <w:rPr>
                          <w:b/>
                          <w:color w:val="2B3D4F"/>
                          <w:spacing w:val="-2"/>
                        </w:rPr>
                        <w:t>estimate.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8374F">
        <w:rPr>
          <w:color w:val="2B3D4F"/>
        </w:rPr>
        <w:t xml:space="preserve">Parameter uncertainty on </w:t>
      </w:r>
      <w:r w:rsidR="0068374F">
        <w:rPr>
          <w:rFonts w:ascii="Symbol" w:hAnsi="Symbol"/>
          <w:color w:val="2B3D4F"/>
        </w:rPr>
        <w:t></w:t>
      </w:r>
      <w:r w:rsidR="0068374F">
        <w:rPr>
          <w:rFonts w:ascii="Times New Roman" w:hAnsi="Times New Roman"/>
          <w:color w:val="2B3D4F"/>
        </w:rPr>
        <w:t xml:space="preserve"> </w:t>
      </w:r>
      <w:r w:rsidR="0068374F">
        <w:rPr>
          <w:color w:val="2B3D4F"/>
        </w:rPr>
        <w:t xml:space="preserve">and </w:t>
      </w:r>
      <w:r w:rsidR="0068374F">
        <w:rPr>
          <w:rFonts w:ascii="Symbol" w:hAnsi="Symbol"/>
          <w:color w:val="2B3D4F"/>
        </w:rPr>
        <w:t></w:t>
      </w:r>
      <w:r w:rsidR="0068374F">
        <w:rPr>
          <w:rFonts w:ascii="Times New Roman" w:hAnsi="Times New Roman"/>
          <w:color w:val="2B3D4F"/>
        </w:rPr>
        <w:t xml:space="preserve"> </w:t>
      </w:r>
      <w:r w:rsidR="0068374F">
        <w:rPr>
          <w:color w:val="2B3D4F"/>
        </w:rPr>
        <w:t xml:space="preserve">is the dominant source of headline-PoC range. The </w:t>
      </w:r>
      <w:r w:rsidR="0068374F">
        <w:rPr>
          <w:rFonts w:ascii="Symbol" w:hAnsi="Symbol"/>
          <w:color w:val="2B3D4F"/>
        </w:rPr>
        <w:t></w:t>
      </w:r>
      <w:r w:rsidR="0068374F">
        <w:rPr>
          <w:rFonts w:ascii="Times New Roman" w:hAnsi="Times New Roman"/>
          <w:color w:val="2B3D4F"/>
        </w:rPr>
        <w:t xml:space="preserve"> </w:t>
      </w:r>
      <w:r w:rsidR="0068374F">
        <w:rPr>
          <w:color w:val="2B3D4F"/>
        </w:rPr>
        <w:t xml:space="preserve">sensitivity table </w:t>
      </w:r>
      <w:r w:rsidR="0068374F" w:rsidRPr="00F20195">
        <w:rPr>
          <w:strike/>
          <w:color w:val="2B3D4F"/>
        </w:rPr>
        <w:t>directly answers JDR Q2 and</w:t>
      </w:r>
      <w:r w:rsidR="0068374F">
        <w:rPr>
          <w:color w:val="2B3D4F"/>
        </w:rPr>
        <w:t xml:space="preserve"> demonstrates that the Optimised </w:t>
      </w:r>
      <w:r w:rsidR="0068374F">
        <w:rPr>
          <w:rFonts w:ascii="Symbol" w:hAnsi="Symbol"/>
          <w:color w:val="2B3D4F"/>
        </w:rPr>
        <w:t></w:t>
      </w:r>
      <w:r w:rsidR="0068374F">
        <w:rPr>
          <w:rFonts w:ascii="Times New Roman" w:hAnsi="Times New Roman"/>
          <w:color w:val="2B3D4F"/>
        </w:rPr>
        <w:t xml:space="preserve"> </w:t>
      </w:r>
      <w:r w:rsidR="0068374F">
        <w:rPr>
          <w:color w:val="2B3D4F"/>
        </w:rPr>
        <w:t>= 0.163 sits comfortably in the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"weak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reversion"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regime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that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the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academic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literature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supports.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The</w:t>
      </w:r>
      <w:r w:rsidR="0068374F">
        <w:rPr>
          <w:color w:val="2B3D4F"/>
          <w:spacing w:val="-3"/>
        </w:rPr>
        <w:t xml:space="preserve"> </w:t>
      </w:r>
      <w:r w:rsidR="0068374F">
        <w:rPr>
          <w:rFonts w:ascii="Symbol" w:hAnsi="Symbol"/>
          <w:color w:val="2B3D4F"/>
        </w:rPr>
        <w:t></w:t>
      </w:r>
      <w:r w:rsidR="0068374F">
        <w:rPr>
          <w:rFonts w:ascii="Times New Roman" w:hAnsi="Times New Roman"/>
          <w:color w:val="2B3D4F"/>
        </w:rPr>
        <w:t xml:space="preserve"> </w:t>
      </w:r>
      <w:r w:rsidR="0068374F">
        <w:rPr>
          <w:color w:val="2B3D4F"/>
        </w:rPr>
        <w:t>sensitivity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table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>shows</w:t>
      </w:r>
      <w:r w:rsidR="0068374F">
        <w:rPr>
          <w:color w:val="2B3D4F"/>
          <w:spacing w:val="-3"/>
        </w:rPr>
        <w:t xml:space="preserve"> </w:t>
      </w:r>
      <w:r w:rsidR="0068374F">
        <w:rPr>
          <w:color w:val="2B3D4F"/>
        </w:rPr>
        <w:t xml:space="preserve">that PoC remains commercially viable for </w:t>
      </w:r>
      <w:r w:rsidR="0068374F">
        <w:rPr>
          <w:rFonts w:ascii="Symbol" w:hAnsi="Symbol"/>
          <w:color w:val="2B3D4F"/>
        </w:rPr>
        <w:t></w:t>
      </w:r>
      <w:r w:rsidR="0068374F">
        <w:rPr>
          <w:rFonts w:ascii="Times New Roman" w:hAnsi="Times New Roman"/>
          <w:color w:val="2B3D4F"/>
        </w:rPr>
        <w:t xml:space="preserve"> </w:t>
      </w:r>
      <w:r w:rsidR="0068374F">
        <w:rPr>
          <w:rFonts w:ascii="Symbol" w:hAnsi="Symbol"/>
          <w:color w:val="2B3D4F"/>
        </w:rPr>
        <w:t></w:t>
      </w:r>
      <w:r w:rsidR="0068374F">
        <w:rPr>
          <w:rFonts w:ascii="Times New Roman" w:hAnsi="Times New Roman"/>
          <w:color w:val="2B3D4F"/>
        </w:rPr>
        <w:t xml:space="preserve"> </w:t>
      </w:r>
      <w:r w:rsidR="0068374F">
        <w:rPr>
          <w:color w:val="2B3D4F"/>
        </w:rPr>
        <w:t xml:space="preserve">8.5% but deteriorates rapidly below that point; pricing should anchor on the Optimised </w:t>
      </w:r>
      <w:r w:rsidR="0068374F">
        <w:rPr>
          <w:rFonts w:ascii="Symbol" w:hAnsi="Symbol"/>
          <w:color w:val="2B3D4F"/>
        </w:rPr>
        <w:t></w:t>
      </w:r>
      <w:r w:rsidR="0068374F">
        <w:rPr>
          <w:rFonts w:ascii="Times New Roman" w:hAnsi="Times New Roman"/>
          <w:color w:val="2B3D4F"/>
        </w:rPr>
        <w:t xml:space="preserve"> </w:t>
      </w:r>
      <w:r w:rsidR="0068374F">
        <w:rPr>
          <w:color w:val="2B3D4F"/>
        </w:rPr>
        <w:t>= 9.2% with periodic re-estimation against current-data MLE as new data arrives.</w:t>
      </w:r>
    </w:p>
    <w:p w14:paraId="746DEAAB" w14:textId="77777777" w:rsidR="005E5CD7" w:rsidRPr="005E5CD7" w:rsidRDefault="005E5CD7" w:rsidP="005E5CD7">
      <w:pPr>
        <w:spacing w:before="169" w:line="292" w:lineRule="auto"/>
        <w:ind w:left="262" w:right="259"/>
        <w:jc w:val="both"/>
        <w:rPr>
          <w:color w:val="EE0000"/>
          <w:sz w:val="20"/>
          <w:szCs w:val="20"/>
        </w:rPr>
      </w:pPr>
      <w:r w:rsidRPr="005E5CD7">
        <w:rPr>
          <w:color w:val="EE0000"/>
          <w:sz w:val="20"/>
          <w:szCs w:val="20"/>
        </w:rPr>
        <w:t>Overall, the v14c (Optimized) model is a credible, well-constructed quantitative framework for the EPM product. With appropriate insurance structures (LMI + tail risk reinsurance), the product is commercially viable under base case assumptions and resilient under most stress scenarios given 30 year long time horizons.</w:t>
      </w:r>
    </w:p>
    <w:p w14:paraId="5C1082B5" w14:textId="77777777" w:rsidR="005E5CD7" w:rsidRDefault="005E5CD7">
      <w:pPr>
        <w:pStyle w:val="BodyText"/>
        <w:spacing w:before="207" w:line="276" w:lineRule="auto"/>
        <w:ind w:right="259"/>
      </w:pPr>
    </w:p>
    <w:sectPr w:rsidR="005E5CD7">
      <w:pgSz w:w="11910" w:h="16840"/>
      <w:pgMar w:top="1480" w:right="1275" w:bottom="820" w:left="1275" w:header="0" w:footer="62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hn Innes" w:date="2026-04-29T11:06:00Z" w:initials="JI">
    <w:p w14:paraId="05D9977D" w14:textId="77777777" w:rsidR="003923D5" w:rsidRDefault="003923D5" w:rsidP="003923D5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Basic maths error</w:t>
      </w:r>
    </w:p>
  </w:comment>
  <w:comment w:id="1" w:author="John Innes" w:date="2026-04-29T12:07:00Z" w:initials="JI">
    <w:p w14:paraId="576B2091" w14:textId="77777777" w:rsidR="00B21624" w:rsidRDefault="00B21624" w:rsidP="00B21624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Re-check the numbers quoted here</w:t>
      </w:r>
    </w:p>
  </w:comment>
  <w:comment w:id="2" w:author="John Innes" w:date="2026-04-29T12:08:00Z" w:initials="JI">
    <w:p w14:paraId="42AC6008" w14:textId="77777777" w:rsidR="00AC074D" w:rsidRDefault="00AC074D" w:rsidP="00AC074D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Re-check the numbers quoted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D9977D" w15:done="0"/>
  <w15:commentEx w15:paraId="576B2091" w15:done="0"/>
  <w15:commentEx w15:paraId="42AC60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53CE0A" w16cex:dateUtc="2026-04-29T01:06:00Z"/>
  <w16cex:commentExtensible w16cex:durableId="3A3F0D1C" w16cex:dateUtc="2026-04-29T02:07:00Z"/>
  <w16cex:commentExtensible w16cex:durableId="101B8220" w16cex:dateUtc="2026-04-29T0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D9977D" w16cid:durableId="2A53CE0A"/>
  <w16cid:commentId w16cid:paraId="576B2091" w16cid:durableId="3A3F0D1C"/>
  <w16cid:commentId w16cid:paraId="42AC6008" w16cid:durableId="101B82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2C78" w14:textId="77777777" w:rsidR="00C260A4" w:rsidRDefault="00C260A4">
      <w:r>
        <w:separator/>
      </w:r>
    </w:p>
  </w:endnote>
  <w:endnote w:type="continuationSeparator" w:id="0">
    <w:p w14:paraId="688CC98C" w14:textId="77777777" w:rsidR="00C260A4" w:rsidRDefault="00C26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8C6D" w14:textId="77777777" w:rsidR="0037691D" w:rsidRDefault="0068374F">
    <w:pPr>
      <w:pStyle w:val="BodyText"/>
      <w:spacing w:line="14" w:lineRule="auto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5A528C6E" wp14:editId="5A528C6F">
              <wp:simplePos x="0" y="0"/>
              <wp:positionH relativeFrom="page">
                <wp:posOffset>887300</wp:posOffset>
              </wp:positionH>
              <wp:positionV relativeFrom="page">
                <wp:posOffset>10155324</wp:posOffset>
              </wp:positionV>
              <wp:extent cx="298640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6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28C78" w14:textId="77777777" w:rsidR="0037691D" w:rsidRDefault="0068374F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5A5A5"/>
                              <w:sz w:val="16"/>
                            </w:rPr>
                            <w:t xml:space="preserve">FutureProof | EPM v14c (Optimised) Actuarial Review | April </w:t>
                          </w:r>
                          <w:r>
                            <w:rPr>
                              <w:color w:val="95A5A5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28C6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69.85pt;margin-top:799.65pt;width:235.15pt;height:10.9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" filled="f" stroked="f">
              <v:textbox inset="0,0,0,0">
                <w:txbxContent>
                  <w:p w14:paraId="5A528C78" w14:textId="77777777" w:rsidR="0037691D" w:rsidRDefault="0068374F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95A5A5"/>
                        <w:sz w:val="16"/>
                      </w:rPr>
                      <w:t xml:space="preserve">FutureProof | EPM v14c (Optimised) Actuarial Review | April </w:t>
                    </w:r>
                    <w:r>
                      <w:rPr>
                        <w:color w:val="95A5A5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59808" behindDoc="1" locked="0" layoutInCell="1" allowOverlap="1" wp14:anchorId="5A528C70" wp14:editId="5A528C71">
              <wp:simplePos x="0" y="0"/>
              <wp:positionH relativeFrom="page">
                <wp:posOffset>6268839</wp:posOffset>
              </wp:positionH>
              <wp:positionV relativeFrom="page">
                <wp:posOffset>10155324</wp:posOffset>
              </wp:positionV>
              <wp:extent cx="44259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28C79" w14:textId="77777777" w:rsidR="0037691D" w:rsidRDefault="0068374F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5A5A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528C70" id="Textbox 2" o:spid="_x0000_s1032" type="#_x0000_t202" style="position:absolute;margin-left:493.6pt;margin-top:799.65pt;width:34.85pt;height:10.95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" filled="f" stroked="f">
              <v:textbox inset="0,0,0,0">
                <w:txbxContent>
                  <w:p w14:paraId="5A528C79" w14:textId="77777777" w:rsidR="0037691D" w:rsidRDefault="0068374F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95A5A5"/>
                        <w:sz w:val="16"/>
                      </w:rPr>
                      <w:t xml:space="preserve">Page </w:t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1C46" w14:textId="77777777" w:rsidR="00C260A4" w:rsidRDefault="00C260A4">
      <w:r>
        <w:separator/>
      </w:r>
    </w:p>
  </w:footnote>
  <w:footnote w:type="continuationSeparator" w:id="0">
    <w:p w14:paraId="6DAE4464" w14:textId="77777777" w:rsidR="00C260A4" w:rsidRDefault="00C260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76848"/>
    <w:multiLevelType w:val="hybridMultilevel"/>
    <w:tmpl w:val="3238D896"/>
    <w:lvl w:ilvl="0" w:tplc="9A706888">
      <w:numFmt w:val="bullet"/>
      <w:lvlText w:val="•"/>
      <w:lvlJc w:val="left"/>
      <w:pPr>
        <w:ind w:left="562" w:hanging="200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n-US" w:eastAsia="en-US" w:bidi="ar-SA"/>
      </w:rPr>
    </w:lvl>
    <w:lvl w:ilvl="1" w:tplc="A9967E66">
      <w:numFmt w:val="bullet"/>
      <w:lvlText w:val="•"/>
      <w:lvlJc w:val="left"/>
      <w:pPr>
        <w:ind w:left="1439" w:hanging="200"/>
      </w:pPr>
      <w:rPr>
        <w:rFonts w:hint="default"/>
        <w:lang w:val="en-US" w:eastAsia="en-US" w:bidi="ar-SA"/>
      </w:rPr>
    </w:lvl>
    <w:lvl w:ilvl="2" w:tplc="7E20F610">
      <w:numFmt w:val="bullet"/>
      <w:lvlText w:val="•"/>
      <w:lvlJc w:val="left"/>
      <w:pPr>
        <w:ind w:left="2319" w:hanging="200"/>
      </w:pPr>
      <w:rPr>
        <w:rFonts w:hint="default"/>
        <w:lang w:val="en-US" w:eastAsia="en-US" w:bidi="ar-SA"/>
      </w:rPr>
    </w:lvl>
    <w:lvl w:ilvl="3" w:tplc="7F36BC5C">
      <w:numFmt w:val="bullet"/>
      <w:lvlText w:val="•"/>
      <w:lvlJc w:val="left"/>
      <w:pPr>
        <w:ind w:left="3198" w:hanging="200"/>
      </w:pPr>
      <w:rPr>
        <w:rFonts w:hint="default"/>
        <w:lang w:val="en-US" w:eastAsia="en-US" w:bidi="ar-SA"/>
      </w:rPr>
    </w:lvl>
    <w:lvl w:ilvl="4" w:tplc="8D0C8C2C">
      <w:numFmt w:val="bullet"/>
      <w:lvlText w:val="•"/>
      <w:lvlJc w:val="left"/>
      <w:pPr>
        <w:ind w:left="4078" w:hanging="200"/>
      </w:pPr>
      <w:rPr>
        <w:rFonts w:hint="default"/>
        <w:lang w:val="en-US" w:eastAsia="en-US" w:bidi="ar-SA"/>
      </w:rPr>
    </w:lvl>
    <w:lvl w:ilvl="5" w:tplc="1D1E65B4">
      <w:numFmt w:val="bullet"/>
      <w:lvlText w:val="•"/>
      <w:lvlJc w:val="left"/>
      <w:pPr>
        <w:ind w:left="4957" w:hanging="200"/>
      </w:pPr>
      <w:rPr>
        <w:rFonts w:hint="default"/>
        <w:lang w:val="en-US" w:eastAsia="en-US" w:bidi="ar-SA"/>
      </w:rPr>
    </w:lvl>
    <w:lvl w:ilvl="6" w:tplc="09E4D994">
      <w:numFmt w:val="bullet"/>
      <w:lvlText w:val="•"/>
      <w:lvlJc w:val="left"/>
      <w:pPr>
        <w:ind w:left="5837" w:hanging="200"/>
      </w:pPr>
      <w:rPr>
        <w:rFonts w:hint="default"/>
        <w:lang w:val="en-US" w:eastAsia="en-US" w:bidi="ar-SA"/>
      </w:rPr>
    </w:lvl>
    <w:lvl w:ilvl="7" w:tplc="ADFC5300">
      <w:numFmt w:val="bullet"/>
      <w:lvlText w:val="•"/>
      <w:lvlJc w:val="left"/>
      <w:pPr>
        <w:ind w:left="6716" w:hanging="200"/>
      </w:pPr>
      <w:rPr>
        <w:rFonts w:hint="default"/>
        <w:lang w:val="en-US" w:eastAsia="en-US" w:bidi="ar-SA"/>
      </w:rPr>
    </w:lvl>
    <w:lvl w:ilvl="8" w:tplc="B9848BCC">
      <w:numFmt w:val="bullet"/>
      <w:lvlText w:val="•"/>
      <w:lvlJc w:val="left"/>
      <w:pPr>
        <w:ind w:left="7596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3450312B"/>
    <w:multiLevelType w:val="hybridMultilevel"/>
    <w:tmpl w:val="16367F24"/>
    <w:lvl w:ilvl="0" w:tplc="268AC67C">
      <w:start w:val="1"/>
      <w:numFmt w:val="decimal"/>
      <w:lvlText w:val="%1."/>
      <w:lvlJc w:val="left"/>
      <w:pPr>
        <w:ind w:left="262" w:hanging="22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100"/>
        <w:sz w:val="20"/>
        <w:szCs w:val="20"/>
        <w:lang w:val="en-US" w:eastAsia="en-US" w:bidi="ar-SA"/>
      </w:rPr>
    </w:lvl>
    <w:lvl w:ilvl="1" w:tplc="2760F242">
      <w:numFmt w:val="bullet"/>
      <w:lvlText w:val="•"/>
      <w:lvlJc w:val="left"/>
      <w:pPr>
        <w:ind w:left="562" w:hanging="200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n-US" w:eastAsia="en-US" w:bidi="ar-SA"/>
      </w:rPr>
    </w:lvl>
    <w:lvl w:ilvl="2" w:tplc="6DDA9BD4">
      <w:numFmt w:val="bullet"/>
      <w:lvlText w:val="•"/>
      <w:lvlJc w:val="left"/>
      <w:pPr>
        <w:ind w:left="1537" w:hanging="200"/>
      </w:pPr>
      <w:rPr>
        <w:rFonts w:hint="default"/>
        <w:lang w:val="en-US" w:eastAsia="en-US" w:bidi="ar-SA"/>
      </w:rPr>
    </w:lvl>
    <w:lvl w:ilvl="3" w:tplc="A8BE04C8">
      <w:numFmt w:val="bullet"/>
      <w:lvlText w:val="•"/>
      <w:lvlJc w:val="left"/>
      <w:pPr>
        <w:ind w:left="2514" w:hanging="200"/>
      </w:pPr>
      <w:rPr>
        <w:rFonts w:hint="default"/>
        <w:lang w:val="en-US" w:eastAsia="en-US" w:bidi="ar-SA"/>
      </w:rPr>
    </w:lvl>
    <w:lvl w:ilvl="4" w:tplc="DB305298">
      <w:numFmt w:val="bullet"/>
      <w:lvlText w:val="•"/>
      <w:lvlJc w:val="left"/>
      <w:pPr>
        <w:ind w:left="3491" w:hanging="200"/>
      </w:pPr>
      <w:rPr>
        <w:rFonts w:hint="default"/>
        <w:lang w:val="en-US" w:eastAsia="en-US" w:bidi="ar-SA"/>
      </w:rPr>
    </w:lvl>
    <w:lvl w:ilvl="5" w:tplc="F1BA09EC">
      <w:numFmt w:val="bullet"/>
      <w:lvlText w:val="•"/>
      <w:lvlJc w:val="left"/>
      <w:pPr>
        <w:ind w:left="4469" w:hanging="200"/>
      </w:pPr>
      <w:rPr>
        <w:rFonts w:hint="default"/>
        <w:lang w:val="en-US" w:eastAsia="en-US" w:bidi="ar-SA"/>
      </w:rPr>
    </w:lvl>
    <w:lvl w:ilvl="6" w:tplc="1918F9EC">
      <w:numFmt w:val="bullet"/>
      <w:lvlText w:val="•"/>
      <w:lvlJc w:val="left"/>
      <w:pPr>
        <w:ind w:left="5446" w:hanging="200"/>
      </w:pPr>
      <w:rPr>
        <w:rFonts w:hint="default"/>
        <w:lang w:val="en-US" w:eastAsia="en-US" w:bidi="ar-SA"/>
      </w:rPr>
    </w:lvl>
    <w:lvl w:ilvl="7" w:tplc="933CFD60">
      <w:numFmt w:val="bullet"/>
      <w:lvlText w:val="•"/>
      <w:lvlJc w:val="left"/>
      <w:pPr>
        <w:ind w:left="6423" w:hanging="200"/>
      </w:pPr>
      <w:rPr>
        <w:rFonts w:hint="default"/>
        <w:lang w:val="en-US" w:eastAsia="en-US" w:bidi="ar-SA"/>
      </w:rPr>
    </w:lvl>
    <w:lvl w:ilvl="8" w:tplc="D97C245A">
      <w:numFmt w:val="bullet"/>
      <w:lvlText w:val="•"/>
      <w:lvlJc w:val="left"/>
      <w:pPr>
        <w:ind w:left="7400" w:hanging="200"/>
      </w:pPr>
      <w:rPr>
        <w:rFonts w:hint="default"/>
        <w:lang w:val="en-US" w:eastAsia="en-US" w:bidi="ar-SA"/>
      </w:rPr>
    </w:lvl>
  </w:abstractNum>
  <w:num w:numId="1" w16cid:durableId="140393717">
    <w:abstractNumId w:val="0"/>
  </w:num>
  <w:num w:numId="2" w16cid:durableId="15115979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Innes">
    <w15:presenceInfo w15:providerId="Windows Live" w15:userId="4a47f0c1f3f8b0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691D"/>
    <w:rsid w:val="000360C9"/>
    <w:rsid w:val="0016686F"/>
    <w:rsid w:val="002C5AC5"/>
    <w:rsid w:val="002F4593"/>
    <w:rsid w:val="0037691D"/>
    <w:rsid w:val="003923D5"/>
    <w:rsid w:val="00430D1D"/>
    <w:rsid w:val="00462BFF"/>
    <w:rsid w:val="004E1DDC"/>
    <w:rsid w:val="005767DF"/>
    <w:rsid w:val="005C4553"/>
    <w:rsid w:val="005E5CD7"/>
    <w:rsid w:val="0068374F"/>
    <w:rsid w:val="006D11D1"/>
    <w:rsid w:val="00784F32"/>
    <w:rsid w:val="00831AE0"/>
    <w:rsid w:val="008B0102"/>
    <w:rsid w:val="008B3076"/>
    <w:rsid w:val="008D3E6A"/>
    <w:rsid w:val="0092070E"/>
    <w:rsid w:val="009308B1"/>
    <w:rsid w:val="00974F40"/>
    <w:rsid w:val="00983820"/>
    <w:rsid w:val="00AC074D"/>
    <w:rsid w:val="00B21624"/>
    <w:rsid w:val="00B5262B"/>
    <w:rsid w:val="00C260A4"/>
    <w:rsid w:val="00E30EE8"/>
    <w:rsid w:val="00E80BC5"/>
    <w:rsid w:val="00F20195"/>
    <w:rsid w:val="00F56CFB"/>
    <w:rsid w:val="00F711FF"/>
    <w:rsid w:val="00F957D7"/>
    <w:rsid w:val="00FA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28AEA"/>
  <w15:docId w15:val="{81D124A3-7E98-443A-A659-B3164D0F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before="62"/>
      <w:ind w:left="262"/>
      <w:jc w:val="both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62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6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2"/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3"/>
      <w:ind w:left="562" w:hanging="20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20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3923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3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3D5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3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3D5"/>
    <w:rPr>
      <w:rFonts w:ascii="Arial" w:eastAsia="Arial" w:hAnsi="Arial" w:cs="Arial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711FF"/>
    <w:rPr>
      <w:rFonts w:ascii="Arial" w:eastAsia="Arial" w:hAnsi="Arial" w:cs="Arial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5C45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455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C45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4553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6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jpe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6198F-A739-4A29-A0DB-B28800130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2555</Words>
  <Characters>14054</Characters>
  <Application>Microsoft Office Word</Application>
  <DocSecurity>0</DocSecurity>
  <Lines>520</Lines>
  <Paragraphs>395</Paragraphs>
  <ScaleCrop>false</ScaleCrop>
  <Company/>
  <LinksUpToDate>false</LinksUpToDate>
  <CharactersWithSpaces>16214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John Innes</cp:lastModifiedBy>
  <cp:revision>2</cp:revision>
  <dcterms:created xsi:type="dcterms:W3CDTF">2026-04-29T02:10:00Z</dcterms:created>
  <dcterms:modified xsi:type="dcterms:W3CDTF">2026-04-29T02:10:00Z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2026-04-29T00:00:00Z</vt:filetime>
  </property>
  <property fmtid="{D5CDD505-2E9C-101B-9397-08002B2CF9AE}" pid="5" name="Producer">
    <vt:lpwstr>ReportLab PDF Library - (opensource)</vt:lpwstr>
  </property>
</Properties>
</file>