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FFB3" w14:textId="77777777" w:rsidR="000436DE" w:rsidRDefault="000436DE">
      <w:pPr>
        <w:pStyle w:val="BodyText"/>
        <w:rPr>
          <w:rFonts w:ascii="Times New Roman"/>
          <w:sz w:val="48"/>
        </w:rPr>
      </w:pPr>
    </w:p>
    <w:p w14:paraId="498FFFB4" w14:textId="77777777" w:rsidR="000436DE" w:rsidRDefault="000436DE">
      <w:pPr>
        <w:pStyle w:val="BodyText"/>
        <w:rPr>
          <w:rFonts w:ascii="Times New Roman"/>
          <w:sz w:val="48"/>
        </w:rPr>
      </w:pPr>
    </w:p>
    <w:p w14:paraId="498FFFB5" w14:textId="77777777" w:rsidR="000436DE" w:rsidRDefault="000436DE">
      <w:pPr>
        <w:pStyle w:val="BodyText"/>
        <w:rPr>
          <w:rFonts w:ascii="Times New Roman"/>
          <w:sz w:val="48"/>
        </w:rPr>
      </w:pPr>
    </w:p>
    <w:p w14:paraId="498FFFB8" w14:textId="77777777" w:rsidR="000436DE" w:rsidRDefault="00601773">
      <w:pPr>
        <w:pStyle w:val="Title"/>
        <w:ind w:right="2"/>
      </w:pPr>
      <w:r>
        <w:rPr>
          <w:color w:val="2B3D4F"/>
          <w:spacing w:val="-2"/>
        </w:rPr>
        <w:t>Futureproof</w:t>
      </w:r>
    </w:p>
    <w:p w14:paraId="498FFFB9" w14:textId="77777777" w:rsidR="000436DE" w:rsidRDefault="000436DE">
      <w:pPr>
        <w:pStyle w:val="BodyText"/>
        <w:spacing w:before="526"/>
        <w:rPr>
          <w:b/>
          <w:sz w:val="48"/>
        </w:rPr>
      </w:pPr>
    </w:p>
    <w:p w14:paraId="4A0FDC9D" w14:textId="1543B643" w:rsidR="00212A4A" w:rsidRDefault="00601773">
      <w:pPr>
        <w:pStyle w:val="Title"/>
        <w:spacing w:line="436" w:lineRule="auto"/>
        <w:rPr>
          <w:color w:val="EE0000"/>
          <w:spacing w:val="-11"/>
          <w:sz w:val="40"/>
          <w:szCs w:val="40"/>
        </w:rPr>
      </w:pPr>
      <w:commentRangeStart w:id="0"/>
      <w:r w:rsidRPr="009E0832">
        <w:rPr>
          <w:color w:val="EE0000"/>
          <w:sz w:val="40"/>
          <w:szCs w:val="40"/>
        </w:rPr>
        <w:t>Equity</w:t>
      </w:r>
      <w:r w:rsidRPr="009E0832">
        <w:rPr>
          <w:color w:val="EE0000"/>
          <w:spacing w:val="-11"/>
          <w:sz w:val="40"/>
          <w:szCs w:val="40"/>
        </w:rPr>
        <w:t xml:space="preserve"> </w:t>
      </w:r>
      <w:r w:rsidRPr="009E0832">
        <w:rPr>
          <w:color w:val="EE0000"/>
          <w:sz w:val="40"/>
          <w:szCs w:val="40"/>
        </w:rPr>
        <w:t>Preservation</w:t>
      </w:r>
      <w:r w:rsidRPr="009E0832">
        <w:rPr>
          <w:color w:val="EE0000"/>
          <w:spacing w:val="-11"/>
          <w:sz w:val="40"/>
          <w:szCs w:val="40"/>
        </w:rPr>
        <w:t xml:space="preserve"> </w:t>
      </w:r>
      <w:r w:rsidRPr="009E0832">
        <w:rPr>
          <w:color w:val="EE0000"/>
          <w:sz w:val="40"/>
          <w:szCs w:val="40"/>
        </w:rPr>
        <w:t>Mortgage</w:t>
      </w:r>
      <w:r w:rsidR="00502D09" w:rsidRPr="009E0832">
        <w:rPr>
          <w:rFonts w:ascii="Open Sans" w:hAnsi="Open Sans" w:cs="Open Sans"/>
          <w:color w:val="EE0000"/>
          <w:sz w:val="40"/>
          <w:szCs w:val="40"/>
        </w:rPr>
        <w:t>®</w:t>
      </w:r>
      <w:r w:rsidRPr="009E0832">
        <w:rPr>
          <w:color w:val="EE0000"/>
          <w:spacing w:val="-11"/>
          <w:sz w:val="40"/>
          <w:szCs w:val="40"/>
        </w:rPr>
        <w:t xml:space="preserve"> </w:t>
      </w:r>
      <w:r w:rsidR="00212A4A">
        <w:rPr>
          <w:color w:val="EE0000"/>
          <w:spacing w:val="-11"/>
          <w:sz w:val="40"/>
          <w:szCs w:val="40"/>
        </w:rPr>
        <w:t>Model</w:t>
      </w:r>
      <w:r w:rsidR="005148C0">
        <w:rPr>
          <w:color w:val="EE0000"/>
          <w:spacing w:val="-11"/>
          <w:sz w:val="40"/>
          <w:szCs w:val="40"/>
        </w:rPr>
        <w:t>ling</w:t>
      </w:r>
      <w:r w:rsidR="00212A4A">
        <w:rPr>
          <w:color w:val="EE0000"/>
          <w:spacing w:val="-11"/>
          <w:sz w:val="40"/>
          <w:szCs w:val="40"/>
        </w:rPr>
        <w:t xml:space="preserve"> </w:t>
      </w:r>
    </w:p>
    <w:p w14:paraId="7CA315AA" w14:textId="3621CF06" w:rsidR="00502D09" w:rsidRPr="009E0832" w:rsidRDefault="00601773">
      <w:pPr>
        <w:pStyle w:val="Title"/>
        <w:spacing w:line="436" w:lineRule="auto"/>
        <w:rPr>
          <w:color w:val="EE0000"/>
          <w:sz w:val="28"/>
          <w:szCs w:val="28"/>
        </w:rPr>
      </w:pPr>
      <w:r w:rsidRPr="009E0832">
        <w:rPr>
          <w:color w:val="EE0000"/>
          <w:sz w:val="28"/>
          <w:szCs w:val="28"/>
        </w:rPr>
        <w:t>v14c</w:t>
      </w:r>
      <w:r w:rsidR="00502D09" w:rsidRPr="009E0832">
        <w:rPr>
          <w:color w:val="EE0000"/>
          <w:sz w:val="28"/>
          <w:szCs w:val="28"/>
        </w:rPr>
        <w:t xml:space="preserve"> (Optimized)</w:t>
      </w:r>
      <w:commentRangeEnd w:id="0"/>
      <w:r w:rsidR="009E0832" w:rsidRPr="009E0832">
        <w:rPr>
          <w:rStyle w:val="CommentReference"/>
          <w:color w:val="EE0000"/>
          <w:sz w:val="28"/>
          <w:szCs w:val="28"/>
        </w:rPr>
        <w:commentReference w:id="0"/>
      </w:r>
    </w:p>
    <w:p w14:paraId="498FFFBA" w14:textId="677D2D9F" w:rsidR="000436DE" w:rsidRDefault="00601773">
      <w:pPr>
        <w:pStyle w:val="Title"/>
        <w:spacing w:line="436" w:lineRule="auto"/>
      </w:pPr>
      <w:r>
        <w:rPr>
          <w:color w:val="2B3D4F"/>
        </w:rPr>
        <w:t xml:space="preserve"> Actuarial Review</w:t>
      </w:r>
    </w:p>
    <w:p w14:paraId="498FFFBB" w14:textId="7C2B0693" w:rsidR="000436DE" w:rsidRDefault="00601773">
      <w:pPr>
        <w:spacing w:line="374" w:lineRule="auto"/>
        <w:ind w:left="1070" w:right="1067"/>
        <w:jc w:val="center"/>
        <w:rPr>
          <w:color w:val="3497A8"/>
          <w:sz w:val="26"/>
        </w:rPr>
      </w:pPr>
      <w:r>
        <w:rPr>
          <w:color w:val="3497A8"/>
          <w:sz w:val="26"/>
        </w:rPr>
        <w:t>50,000-Path</w:t>
      </w:r>
      <w:r>
        <w:rPr>
          <w:color w:val="3497A8"/>
          <w:spacing w:val="-5"/>
          <w:sz w:val="26"/>
        </w:rPr>
        <w:t xml:space="preserve"> </w:t>
      </w:r>
      <w:r>
        <w:rPr>
          <w:color w:val="3497A8"/>
          <w:sz w:val="26"/>
        </w:rPr>
        <w:t>Monte</w:t>
      </w:r>
      <w:r>
        <w:rPr>
          <w:color w:val="3497A8"/>
          <w:spacing w:val="-5"/>
          <w:sz w:val="26"/>
        </w:rPr>
        <w:t xml:space="preserve"> </w:t>
      </w:r>
      <w:r>
        <w:rPr>
          <w:color w:val="3497A8"/>
          <w:sz w:val="26"/>
        </w:rPr>
        <w:t>Carlo</w:t>
      </w:r>
      <w:r>
        <w:rPr>
          <w:color w:val="3497A8"/>
          <w:spacing w:val="-5"/>
          <w:sz w:val="26"/>
        </w:rPr>
        <w:t xml:space="preserve"> </w:t>
      </w:r>
      <w:r>
        <w:rPr>
          <w:color w:val="3497A8"/>
          <w:sz w:val="26"/>
        </w:rPr>
        <w:t>with</w:t>
      </w:r>
      <w:r>
        <w:rPr>
          <w:color w:val="3497A8"/>
          <w:spacing w:val="-5"/>
          <w:sz w:val="26"/>
        </w:rPr>
        <w:t xml:space="preserve"> </w:t>
      </w:r>
      <w:r>
        <w:rPr>
          <w:color w:val="3497A8"/>
          <w:sz w:val="26"/>
        </w:rPr>
        <w:t>Sensitivity</w:t>
      </w:r>
      <w:r>
        <w:rPr>
          <w:color w:val="3497A8"/>
          <w:spacing w:val="-5"/>
          <w:sz w:val="26"/>
        </w:rPr>
        <w:t xml:space="preserve"> </w:t>
      </w:r>
      <w:r>
        <w:rPr>
          <w:color w:val="3497A8"/>
          <w:sz w:val="26"/>
        </w:rPr>
        <w:t>&amp;</w:t>
      </w:r>
      <w:r>
        <w:rPr>
          <w:color w:val="3497A8"/>
          <w:spacing w:val="-5"/>
          <w:sz w:val="26"/>
        </w:rPr>
        <w:t xml:space="preserve"> </w:t>
      </w:r>
      <w:r>
        <w:rPr>
          <w:color w:val="3497A8"/>
          <w:sz w:val="26"/>
        </w:rPr>
        <w:t>Stress</w:t>
      </w:r>
      <w:r>
        <w:rPr>
          <w:color w:val="3497A8"/>
          <w:spacing w:val="-5"/>
          <w:sz w:val="26"/>
        </w:rPr>
        <w:t xml:space="preserve"> </w:t>
      </w:r>
      <w:r>
        <w:rPr>
          <w:color w:val="3497A8"/>
          <w:sz w:val="26"/>
        </w:rPr>
        <w:t xml:space="preserve">Analysis </w:t>
      </w:r>
      <w:r w:rsidR="00960544">
        <w:rPr>
          <w:color w:val="3497A8"/>
          <w:sz w:val="26"/>
        </w:rPr>
        <w:t>Independent Review by Claude AI (</w:t>
      </w:r>
      <w:r>
        <w:rPr>
          <w:color w:val="3497A8"/>
          <w:sz w:val="26"/>
        </w:rPr>
        <w:t>April 202</w:t>
      </w:r>
      <w:r w:rsidR="00960544">
        <w:rPr>
          <w:color w:val="3497A8"/>
          <w:sz w:val="26"/>
        </w:rPr>
        <w:t>6)</w:t>
      </w:r>
    </w:p>
    <w:p w14:paraId="1EC2189E" w14:textId="77777777" w:rsidR="00284315" w:rsidRDefault="00284315">
      <w:pPr>
        <w:spacing w:line="374" w:lineRule="auto"/>
        <w:ind w:left="1070" w:right="1067"/>
        <w:jc w:val="center"/>
        <w:rPr>
          <w:color w:val="3497A8"/>
          <w:sz w:val="26"/>
        </w:rPr>
      </w:pPr>
    </w:p>
    <w:p w14:paraId="3ED46DFA" w14:textId="5A324F0E" w:rsidR="00284315" w:rsidRDefault="006D2130" w:rsidP="006D2130">
      <w:pPr>
        <w:pStyle w:val="BodyText"/>
        <w:tabs>
          <w:tab w:val="left" w:pos="1701"/>
          <w:tab w:val="left" w:pos="8364"/>
        </w:tabs>
        <w:spacing w:line="292" w:lineRule="auto"/>
        <w:ind w:right="996"/>
        <w:rPr>
          <w:color w:val="2B3D4F"/>
          <w:spacing w:val="-5"/>
        </w:rPr>
      </w:pPr>
      <w:r>
        <w:rPr>
          <w:color w:val="2B3D4F"/>
        </w:rPr>
        <w:tab/>
      </w:r>
      <w:r w:rsidR="00284315">
        <w:rPr>
          <w:color w:val="2B3D4F"/>
        </w:rPr>
        <w:t>Based</w:t>
      </w:r>
      <w:r w:rsidR="00284315">
        <w:rPr>
          <w:color w:val="2B3D4F"/>
          <w:spacing w:val="-5"/>
        </w:rPr>
        <w:t xml:space="preserve"> </w:t>
      </w:r>
      <w:r w:rsidR="00284315">
        <w:rPr>
          <w:color w:val="2B3D4F"/>
        </w:rPr>
        <w:t>on</w:t>
      </w:r>
      <w:r w:rsidR="00284315">
        <w:rPr>
          <w:color w:val="2B3D4F"/>
          <w:spacing w:val="-5"/>
        </w:rPr>
        <w:t xml:space="preserve"> </w:t>
      </w:r>
      <w:r w:rsidR="00284315">
        <w:rPr>
          <w:color w:val="2B3D4F"/>
        </w:rPr>
        <w:t>the</w:t>
      </w:r>
      <w:r w:rsidR="00284315">
        <w:rPr>
          <w:color w:val="2B3D4F"/>
          <w:spacing w:val="-5"/>
        </w:rPr>
        <w:t xml:space="preserve"> </w:t>
      </w:r>
      <w:r w:rsidR="00284315">
        <w:rPr>
          <w:color w:val="2B3D4F"/>
        </w:rPr>
        <w:t>Equity</w:t>
      </w:r>
      <w:r w:rsidR="00284315">
        <w:rPr>
          <w:color w:val="2B3D4F"/>
          <w:spacing w:val="-5"/>
        </w:rPr>
        <w:t xml:space="preserve"> </w:t>
      </w:r>
      <w:r w:rsidR="00284315">
        <w:rPr>
          <w:color w:val="2B3D4F"/>
        </w:rPr>
        <w:t>Preservation</w:t>
      </w:r>
      <w:r w:rsidR="00284315">
        <w:rPr>
          <w:color w:val="2B3D4F"/>
          <w:spacing w:val="-5"/>
        </w:rPr>
        <w:t xml:space="preserve"> </w:t>
      </w:r>
      <w:r w:rsidR="00284315">
        <w:rPr>
          <w:color w:val="2B3D4F"/>
        </w:rPr>
        <w:t>Mortgage</w:t>
      </w:r>
      <w:r w:rsidR="00284315">
        <w:rPr>
          <w:color w:val="2B3D4F"/>
          <w:spacing w:val="-5"/>
        </w:rPr>
        <w:t xml:space="preserve"> </w:t>
      </w:r>
      <w:r w:rsidR="00284315">
        <w:rPr>
          <w:color w:val="2B3D4F"/>
        </w:rPr>
        <w:t>(EPM)</w:t>
      </w:r>
      <w:r w:rsidR="00284315">
        <w:rPr>
          <w:color w:val="2B3D4F"/>
          <w:spacing w:val="-5"/>
        </w:rPr>
        <w:t xml:space="preserve"> </w:t>
      </w:r>
      <w:r w:rsidR="00284315">
        <w:rPr>
          <w:color w:val="2B3D4F"/>
        </w:rPr>
        <w:t>v14c</w:t>
      </w:r>
      <w:r w:rsidR="00284315">
        <w:rPr>
          <w:color w:val="2B3D4F"/>
          <w:spacing w:val="-5"/>
        </w:rPr>
        <w:t xml:space="preserve"> (Optimized)</w:t>
      </w:r>
    </w:p>
    <w:p w14:paraId="768BE649" w14:textId="72F3D733" w:rsidR="00284315" w:rsidRDefault="00284315" w:rsidP="006D2130">
      <w:pPr>
        <w:pStyle w:val="BodyText"/>
        <w:tabs>
          <w:tab w:val="left" w:pos="1701"/>
        </w:tabs>
        <w:spacing w:line="292" w:lineRule="auto"/>
        <w:ind w:left="1560" w:right="1705"/>
      </w:pPr>
      <w:r>
        <w:rPr>
          <w:color w:val="2B3D4F"/>
        </w:rPr>
        <w:t>GBM with Stochastic Drift + Mean Reversion Equity Model (Shevchenko 2026) 50,000-path Monte Carlo Simulation</w:t>
      </w:r>
    </w:p>
    <w:p w14:paraId="39040C90" w14:textId="77777777" w:rsidR="00284315" w:rsidRDefault="00284315">
      <w:pPr>
        <w:spacing w:line="374" w:lineRule="auto"/>
        <w:ind w:left="1070" w:right="1067"/>
        <w:jc w:val="center"/>
        <w:rPr>
          <w:sz w:val="26"/>
        </w:rPr>
      </w:pPr>
    </w:p>
    <w:p w14:paraId="498FFFBC" w14:textId="77777777" w:rsidR="000436DE" w:rsidRDefault="000436DE">
      <w:pPr>
        <w:pStyle w:val="BodyText"/>
        <w:rPr>
          <w:sz w:val="26"/>
        </w:rPr>
      </w:pPr>
    </w:p>
    <w:p w14:paraId="498FFFBD" w14:textId="77777777" w:rsidR="000436DE" w:rsidRDefault="000436DE">
      <w:pPr>
        <w:pStyle w:val="BodyText"/>
        <w:spacing w:before="242"/>
        <w:rPr>
          <w:sz w:val="26"/>
        </w:rPr>
      </w:pPr>
    </w:p>
    <w:p w14:paraId="498FFFBE" w14:textId="77777777" w:rsidR="000436DE" w:rsidRDefault="00601773">
      <w:pPr>
        <w:ind w:left="2" w:right="2"/>
        <w:jc w:val="center"/>
        <w:rPr>
          <w:i/>
          <w:color w:val="BF382A"/>
          <w:spacing w:val="-4"/>
        </w:rPr>
      </w:pPr>
      <w:r>
        <w:rPr>
          <w:i/>
          <w:color w:val="BF382A"/>
        </w:rPr>
        <w:t xml:space="preserve">CONFIDENTIAL — For Internal Distribution </w:t>
      </w:r>
      <w:r>
        <w:rPr>
          <w:i/>
          <w:color w:val="BF382A"/>
          <w:spacing w:val="-4"/>
        </w:rPr>
        <w:t>Only</w:t>
      </w:r>
    </w:p>
    <w:p w14:paraId="4480E197" w14:textId="77777777" w:rsidR="007F439B" w:rsidRDefault="007F439B">
      <w:pPr>
        <w:ind w:left="2" w:right="2"/>
        <w:jc w:val="center"/>
        <w:rPr>
          <w:i/>
          <w:color w:val="BF382A"/>
          <w:spacing w:val="-4"/>
        </w:rPr>
      </w:pPr>
    </w:p>
    <w:p w14:paraId="086EE51C" w14:textId="77777777" w:rsidR="007F439B" w:rsidRDefault="007F439B">
      <w:pPr>
        <w:ind w:left="2" w:right="2"/>
        <w:jc w:val="center"/>
        <w:rPr>
          <w:i/>
          <w:color w:val="BF382A"/>
          <w:spacing w:val="-4"/>
        </w:rPr>
      </w:pPr>
    </w:p>
    <w:p w14:paraId="598BD490" w14:textId="77777777" w:rsidR="007F439B" w:rsidRDefault="007F439B" w:rsidP="007F439B">
      <w:pPr>
        <w:spacing w:before="172" w:line="292" w:lineRule="auto"/>
        <w:ind w:left="160" w:right="157"/>
        <w:jc w:val="center"/>
        <w:rPr>
          <w:i/>
          <w:color w:val="000000"/>
          <w:sz w:val="20"/>
        </w:rPr>
      </w:pPr>
      <w:r>
        <w:rPr>
          <w:b/>
          <w:i/>
          <w:color w:val="3497A8"/>
          <w:sz w:val="20"/>
        </w:rPr>
        <w:t xml:space="preserve">Important note on dollar amounts: </w:t>
      </w:r>
      <w:r>
        <w:rPr>
          <w:i/>
          <w:color w:val="3497A8"/>
          <w:sz w:val="20"/>
        </w:rPr>
        <w:t>All dollar amounts in this paper are per-mortgage values for a representative $1,500,000 property at 80% LVR. These amounts will vary proportionally for different home values, LVR ratios, and annuity levels. They are not global constants.</w:t>
      </w:r>
    </w:p>
    <w:p w14:paraId="4A0DDFA0" w14:textId="77777777" w:rsidR="007F439B" w:rsidRDefault="007F439B">
      <w:pPr>
        <w:ind w:left="2" w:right="2"/>
        <w:jc w:val="center"/>
        <w:rPr>
          <w:i/>
        </w:rPr>
      </w:pPr>
    </w:p>
    <w:p w14:paraId="498FFFBF" w14:textId="77777777" w:rsidR="000436DE" w:rsidRDefault="000436DE">
      <w:pPr>
        <w:jc w:val="center"/>
        <w:rPr>
          <w:i/>
        </w:rPr>
        <w:sectPr w:rsidR="000436DE">
          <w:footerReference w:type="default" r:id="rId12"/>
          <w:type w:val="continuous"/>
          <w:pgSz w:w="11910" w:h="16840"/>
          <w:pgMar w:top="1920" w:right="1275" w:bottom="820" w:left="1275" w:header="0" w:footer="625" w:gutter="0"/>
          <w:pgNumType w:start="1"/>
          <w:cols w:space="720"/>
        </w:sectPr>
      </w:pPr>
    </w:p>
    <w:p w14:paraId="498FFFC0" w14:textId="77777777" w:rsidR="000436DE" w:rsidRDefault="00601773">
      <w:pPr>
        <w:pStyle w:val="Heading1"/>
        <w:jc w:val="both"/>
      </w:pPr>
      <w:r>
        <w:rPr>
          <w:color w:val="2B3D4F"/>
        </w:rPr>
        <w:lastRenderedPageBreak/>
        <w:t xml:space="preserve">Executive </w:t>
      </w:r>
      <w:r>
        <w:rPr>
          <w:color w:val="2B3D4F"/>
          <w:spacing w:val="-2"/>
        </w:rPr>
        <w:t>Summary</w:t>
      </w:r>
    </w:p>
    <w:p w14:paraId="498FFFC1" w14:textId="3F8DF955" w:rsidR="000436DE" w:rsidRPr="00695EC5" w:rsidRDefault="00601773">
      <w:pPr>
        <w:pStyle w:val="BodyText"/>
        <w:spacing w:before="242" w:line="288" w:lineRule="auto"/>
        <w:ind w:left="262" w:right="259"/>
        <w:jc w:val="both"/>
        <w:rPr>
          <w:color w:val="EE0000"/>
        </w:rPr>
      </w:pPr>
      <w:r>
        <w:rPr>
          <w:color w:val="2B3D4F"/>
        </w:rPr>
        <w:t xml:space="preserve">This report presents an independent actuarial review of the </w:t>
      </w:r>
      <w:r w:rsidRPr="00F63D7A">
        <w:rPr>
          <w:color w:val="EE0000"/>
        </w:rPr>
        <w:t>Future</w:t>
      </w:r>
      <w:r w:rsidR="008654F1" w:rsidRPr="00F63D7A">
        <w:rPr>
          <w:color w:val="EE0000"/>
        </w:rPr>
        <w:t>p</w:t>
      </w:r>
      <w:r w:rsidRPr="00F63D7A">
        <w:rPr>
          <w:color w:val="EE0000"/>
        </w:rPr>
        <w:t>roof Equity Preservation Mortgage</w:t>
      </w:r>
      <w:r w:rsidR="008654F1" w:rsidRPr="00F63D7A">
        <w:rPr>
          <w:rFonts w:ascii="Open Sans" w:hAnsi="Open Sans" w:cs="Open Sans"/>
          <w:color w:val="EE0000"/>
        </w:rPr>
        <w:t>®</w:t>
      </w:r>
      <w:r w:rsidR="00F63D7A" w:rsidRPr="00F63D7A">
        <w:rPr>
          <w:rFonts w:ascii="Open Sans" w:hAnsi="Open Sans" w:cs="Open Sans"/>
          <w:color w:val="EE0000"/>
        </w:rPr>
        <w:t xml:space="preserve"> Model</w:t>
      </w:r>
      <w:r w:rsidRPr="00F63D7A">
        <w:rPr>
          <w:color w:val="EE0000"/>
          <w:spacing w:val="-2"/>
        </w:rPr>
        <w:t xml:space="preserve"> </w:t>
      </w:r>
      <w:r w:rsidRPr="00F63D7A">
        <w:rPr>
          <w:color w:val="EE0000"/>
        </w:rPr>
        <w:t>(EPM)</w:t>
      </w:r>
      <w:r w:rsidRPr="00F63D7A">
        <w:rPr>
          <w:color w:val="EE0000"/>
          <w:spacing w:val="-2"/>
        </w:rPr>
        <w:t xml:space="preserve"> </w:t>
      </w:r>
      <w:r w:rsidRPr="00F63D7A">
        <w:rPr>
          <w:color w:val="EE0000"/>
        </w:rPr>
        <w:t>v14c</w:t>
      </w:r>
      <w:r w:rsidRPr="00F63D7A">
        <w:rPr>
          <w:color w:val="EE0000"/>
          <w:spacing w:val="-2"/>
        </w:rPr>
        <w:t xml:space="preserve"> </w:t>
      </w:r>
      <w:r w:rsidRPr="00F63D7A">
        <w:rPr>
          <w:color w:val="EE0000"/>
        </w:rPr>
        <w:t>(</w:t>
      </w:r>
      <w:r w:rsidR="008654F1" w:rsidRPr="00F63D7A">
        <w:rPr>
          <w:color w:val="EE0000"/>
        </w:rPr>
        <w:t>Optimized)</w:t>
      </w:r>
      <w:r w:rsidRPr="00F63D7A">
        <w:rPr>
          <w:color w:val="EE0000"/>
        </w:rPr>
        <w:t>.</w:t>
      </w:r>
      <w:r w:rsidRPr="00F63D7A">
        <w:rPr>
          <w:color w:val="EE0000"/>
          <w:spacing w:val="-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model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uses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2"/>
        </w:rPr>
        <w:t xml:space="preserve"> </w:t>
      </w:r>
      <w:r w:rsidRPr="00A4781D">
        <w:rPr>
          <w:b/>
          <w:color w:val="EE0000"/>
        </w:rPr>
        <w:t>GBM</w:t>
      </w:r>
      <w:r w:rsidRPr="00A4781D">
        <w:rPr>
          <w:b/>
          <w:color w:val="EE0000"/>
          <w:spacing w:val="-2"/>
        </w:rPr>
        <w:t xml:space="preserve"> </w:t>
      </w:r>
      <w:r w:rsidR="00A4781D" w:rsidRPr="00A4781D">
        <w:rPr>
          <w:b/>
          <w:color w:val="EE0000"/>
          <w:spacing w:val="-2"/>
        </w:rPr>
        <w:t>with</w:t>
      </w:r>
      <w:r w:rsidRPr="00A4781D">
        <w:rPr>
          <w:b/>
          <w:color w:val="EE0000"/>
          <w:spacing w:val="-2"/>
        </w:rPr>
        <w:t xml:space="preserve"> </w:t>
      </w:r>
      <w:r w:rsidR="00A4781D" w:rsidRPr="00A4781D">
        <w:rPr>
          <w:b/>
          <w:color w:val="EE0000"/>
          <w:spacing w:val="-2"/>
        </w:rPr>
        <w:t xml:space="preserve">Stochastic Drift + </w:t>
      </w:r>
      <w:r w:rsidRPr="00A4781D">
        <w:rPr>
          <w:b/>
          <w:color w:val="EE0000"/>
        </w:rPr>
        <w:t>Mean</w:t>
      </w:r>
      <w:r w:rsidRPr="00A4781D">
        <w:rPr>
          <w:b/>
          <w:color w:val="EE0000"/>
          <w:spacing w:val="-2"/>
        </w:rPr>
        <w:t xml:space="preserve"> </w:t>
      </w:r>
      <w:r w:rsidRPr="00A4781D">
        <w:rPr>
          <w:b/>
          <w:color w:val="EE0000"/>
        </w:rPr>
        <w:t>Reversion</w:t>
      </w:r>
      <w:r w:rsidR="00A4781D">
        <w:rPr>
          <w:b/>
          <w:color w:val="EE0000"/>
        </w:rPr>
        <w:t xml:space="preserve"> </w:t>
      </w:r>
      <w:r w:rsidR="00A4781D" w:rsidRPr="00A4781D">
        <w:rPr>
          <w:bCs/>
          <w:color w:val="EE0000"/>
        </w:rPr>
        <w:t>index</w:t>
      </w:r>
      <w:r>
        <w:rPr>
          <w:b/>
          <w:color w:val="2B3D4F"/>
          <w:spacing w:val="-2"/>
        </w:rPr>
        <w:t xml:space="preserve"> 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return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model based on MLE parameter estimation (Shevchenko, April 2026</w:t>
      </w:r>
      <w:r w:rsidRPr="009A2229">
        <w:rPr>
          <w:color w:val="EE0000"/>
        </w:rPr>
        <w:t xml:space="preserve">), </w:t>
      </w:r>
      <w:r w:rsidR="009A2229" w:rsidRPr="009A2229">
        <w:rPr>
          <w:color w:val="EE0000"/>
        </w:rPr>
        <w:t>with</w:t>
      </w:r>
      <w:r w:rsidR="009A2229">
        <w:rPr>
          <w:color w:val="2B3D4F"/>
        </w:rPr>
        <w:t xml:space="preserve"> </w:t>
      </w:r>
      <w:r w:rsidRPr="00732E46">
        <w:rPr>
          <w:strike/>
          <w:color w:val="2B3D4F"/>
        </w:rPr>
        <w:t>a 2.0% wholesale funding margin, and</w:t>
      </w:r>
      <w:r>
        <w:rPr>
          <w:color w:val="2B3D4F"/>
        </w:rPr>
        <w:t xml:space="preserve"> </w:t>
      </w:r>
      <w:r w:rsidRPr="00695EC5">
        <w:rPr>
          <w:color w:val="EE0000"/>
        </w:rPr>
        <w:t>a</w:t>
      </w:r>
      <w:r w:rsidR="003306B4" w:rsidRPr="00695EC5">
        <w:rPr>
          <w:color w:val="EE0000"/>
        </w:rPr>
        <w:t xml:space="preserve"> </w:t>
      </w:r>
      <w:r w:rsidR="001B1615" w:rsidRPr="00695EC5">
        <w:rPr>
          <w:color w:val="EE0000"/>
        </w:rPr>
        <w:t xml:space="preserve">volatility control layer </w:t>
      </w:r>
      <w:r w:rsidR="003306B4" w:rsidRPr="00695EC5">
        <w:rPr>
          <w:color w:val="EE0000"/>
        </w:rPr>
        <w:t>that</w:t>
      </w:r>
      <w:r w:rsidR="009A2229">
        <w:rPr>
          <w:color w:val="EE0000"/>
        </w:rPr>
        <w:t>,</w:t>
      </w:r>
      <w:r w:rsidR="003306B4" w:rsidRPr="00695EC5">
        <w:rPr>
          <w:color w:val="EE0000"/>
        </w:rPr>
        <w:t xml:space="preserve"> through </w:t>
      </w:r>
      <w:r w:rsidR="00695EC5" w:rsidRPr="00695EC5">
        <w:rPr>
          <w:color w:val="EE0000"/>
        </w:rPr>
        <w:t xml:space="preserve">an </w:t>
      </w:r>
      <w:r w:rsidR="003306B4" w:rsidRPr="00695EC5">
        <w:rPr>
          <w:color w:val="EE0000"/>
        </w:rPr>
        <w:t xml:space="preserve">index diversification </w:t>
      </w:r>
      <w:r w:rsidR="00695EC5" w:rsidRPr="00695EC5">
        <w:rPr>
          <w:color w:val="EE0000"/>
        </w:rPr>
        <w:t xml:space="preserve">strategy </w:t>
      </w:r>
      <w:r w:rsidR="00A4781D">
        <w:rPr>
          <w:color w:val="EE0000"/>
        </w:rPr>
        <w:t>(BlackRock</w:t>
      </w:r>
      <w:r w:rsidR="004715A7">
        <w:rPr>
          <w:color w:val="EE0000"/>
        </w:rPr>
        <w:t>)</w:t>
      </w:r>
      <w:r w:rsidR="00F66BDB">
        <w:rPr>
          <w:color w:val="EE0000"/>
        </w:rPr>
        <w:t xml:space="preserve"> </w:t>
      </w:r>
      <w:r w:rsidR="001B1615" w:rsidRPr="00695EC5">
        <w:rPr>
          <w:color w:val="EE0000"/>
        </w:rPr>
        <w:t>and</w:t>
      </w:r>
      <w:r w:rsidR="00E713BE" w:rsidRPr="00695EC5">
        <w:rPr>
          <w:color w:val="EE0000"/>
        </w:rPr>
        <w:t xml:space="preserve"> </w:t>
      </w:r>
      <w:r w:rsidR="00B72341">
        <w:rPr>
          <w:color w:val="EE0000"/>
        </w:rPr>
        <w:t>a</w:t>
      </w:r>
      <w:r w:rsidR="001B1615" w:rsidRPr="00695EC5">
        <w:rPr>
          <w:color w:val="EE0000"/>
        </w:rPr>
        <w:t xml:space="preserve"> </w:t>
      </w:r>
      <w:r w:rsidRPr="00695EC5">
        <w:rPr>
          <w:color w:val="EE0000"/>
        </w:rPr>
        <w:t>±40%/</w:t>
      </w:r>
      <w:r w:rsidRPr="00695EC5">
        <w:rPr>
          <w:rFonts w:ascii="Symbol" w:hAnsi="Symbol"/>
          <w:color w:val="EE0000"/>
        </w:rPr>
        <w:t></w:t>
      </w:r>
      <w:r w:rsidRPr="00695EC5">
        <w:rPr>
          <w:color w:val="EE0000"/>
        </w:rPr>
        <w:t xml:space="preserve">20% </w:t>
      </w:r>
      <w:r w:rsidR="00947A54" w:rsidRPr="00695EC5">
        <w:rPr>
          <w:strike/>
          <w:color w:val="EE0000"/>
        </w:rPr>
        <w:t>vol</w:t>
      </w:r>
      <w:r w:rsidRPr="00695EC5">
        <w:rPr>
          <w:strike/>
          <w:color w:val="EE0000"/>
        </w:rPr>
        <w:t>atility buffer</w:t>
      </w:r>
      <w:r w:rsidRPr="00695EC5">
        <w:rPr>
          <w:color w:val="EE0000"/>
        </w:rPr>
        <w:t xml:space="preserve"> </w:t>
      </w:r>
      <w:r w:rsidR="001B1615" w:rsidRPr="00695EC5">
        <w:rPr>
          <w:color w:val="EE0000"/>
        </w:rPr>
        <w:t>index</w:t>
      </w:r>
      <w:r w:rsidR="00947A54" w:rsidRPr="00695EC5">
        <w:rPr>
          <w:color w:val="EE0000"/>
        </w:rPr>
        <w:t xml:space="preserve"> collar </w:t>
      </w:r>
      <w:r w:rsidR="005C600A" w:rsidRPr="00695EC5">
        <w:rPr>
          <w:color w:val="EE0000"/>
        </w:rPr>
        <w:t xml:space="preserve">continuous dynamic </w:t>
      </w:r>
      <w:r w:rsidR="00947A54" w:rsidRPr="00695EC5">
        <w:rPr>
          <w:color w:val="EE0000"/>
        </w:rPr>
        <w:t>hedging strategy</w:t>
      </w:r>
      <w:r w:rsidR="0020217B" w:rsidRPr="00695EC5">
        <w:rPr>
          <w:color w:val="EE0000"/>
        </w:rPr>
        <w:t xml:space="preserve"> </w:t>
      </w:r>
      <w:r w:rsidR="00022F60">
        <w:rPr>
          <w:color w:val="EE0000"/>
        </w:rPr>
        <w:t xml:space="preserve">(SpiderRock), </w:t>
      </w:r>
      <w:r w:rsidR="0020217B" w:rsidRPr="00695EC5">
        <w:rPr>
          <w:color w:val="EE0000"/>
        </w:rPr>
        <w:t>appl</w:t>
      </w:r>
      <w:r w:rsidR="00BE3651" w:rsidRPr="00695EC5">
        <w:rPr>
          <w:color w:val="EE0000"/>
        </w:rPr>
        <w:t xml:space="preserve">ied </w:t>
      </w:r>
      <w:r w:rsidR="0020217B" w:rsidRPr="00695EC5">
        <w:rPr>
          <w:color w:val="EE0000"/>
        </w:rPr>
        <w:t xml:space="preserve">to </w:t>
      </w:r>
      <w:r w:rsidR="00576A6A" w:rsidRPr="00695EC5">
        <w:rPr>
          <w:color w:val="EE0000"/>
        </w:rPr>
        <w:t>the</w:t>
      </w:r>
      <w:r w:rsidR="0020217B" w:rsidRPr="00695EC5">
        <w:rPr>
          <w:color w:val="EE0000"/>
        </w:rPr>
        <w:t xml:space="preserve"> portfolio of index reference assets</w:t>
      </w:r>
      <w:r w:rsidR="00BE3651" w:rsidRPr="00695EC5">
        <w:rPr>
          <w:color w:val="EE0000"/>
        </w:rPr>
        <w:t xml:space="preserve"> held by the lender</w:t>
      </w:r>
      <w:r w:rsidR="00576A6A" w:rsidRPr="00695EC5">
        <w:rPr>
          <w:color w:val="EE0000"/>
        </w:rPr>
        <w:t xml:space="preserve"> for each borrower</w:t>
      </w:r>
      <w:r w:rsidR="00B72341">
        <w:rPr>
          <w:color w:val="EE0000"/>
        </w:rPr>
        <w:t xml:space="preserve"> that </w:t>
      </w:r>
      <w:r w:rsidR="00B37DC5">
        <w:rPr>
          <w:color w:val="EE0000"/>
        </w:rPr>
        <w:t>limits losses to 20% (the tail risk</w:t>
      </w:r>
      <w:r w:rsidR="00DA5982">
        <w:rPr>
          <w:color w:val="EE0000"/>
        </w:rPr>
        <w:t>)</w:t>
      </w:r>
      <w:r w:rsidR="00B37DC5">
        <w:rPr>
          <w:color w:val="EE0000"/>
        </w:rPr>
        <w:t>.</w:t>
      </w:r>
    </w:p>
    <w:p w14:paraId="498FFFC2" w14:textId="77777777" w:rsidR="000436DE" w:rsidRDefault="000436DE">
      <w:pPr>
        <w:pStyle w:val="BodyText"/>
        <w:spacing w:before="57"/>
      </w:pPr>
    </w:p>
    <w:p w14:paraId="498FFFC3" w14:textId="77777777" w:rsidR="000436DE" w:rsidRDefault="00601773">
      <w:pPr>
        <w:pStyle w:val="Heading2"/>
        <w:jc w:val="both"/>
      </w:pPr>
      <w:r>
        <w:rPr>
          <w:color w:val="3497A8"/>
        </w:rPr>
        <w:t xml:space="preserve">Key </w:t>
      </w:r>
      <w:commentRangeStart w:id="1"/>
      <w:r>
        <w:rPr>
          <w:color w:val="3497A8"/>
          <w:spacing w:val="-2"/>
        </w:rPr>
        <w:t>Findings</w:t>
      </w:r>
      <w:commentRangeEnd w:id="1"/>
      <w:r w:rsidR="00D1654A">
        <w:rPr>
          <w:rStyle w:val="CommentReference"/>
          <w:sz w:val="28"/>
          <w:szCs w:val="28"/>
        </w:rPr>
        <w:commentReference w:id="1"/>
      </w:r>
    </w:p>
    <w:p w14:paraId="498FFFC4" w14:textId="77777777" w:rsidR="000436DE" w:rsidRDefault="00601773">
      <w:pPr>
        <w:pStyle w:val="ListParagraph"/>
        <w:numPr>
          <w:ilvl w:val="0"/>
          <w:numId w:val="3"/>
        </w:numPr>
        <w:tabs>
          <w:tab w:val="left" w:pos="561"/>
        </w:tabs>
        <w:spacing w:before="203"/>
        <w:ind w:left="561" w:hanging="199"/>
        <w:rPr>
          <w:sz w:val="20"/>
        </w:rPr>
      </w:pPr>
      <w:r>
        <w:rPr>
          <w:b/>
          <w:color w:val="2B3D4F"/>
          <w:sz w:val="20"/>
        </w:rPr>
        <w:t xml:space="preserve">Base case PoD: 1.2% </w:t>
      </w:r>
      <w:r>
        <w:rPr>
          <w:color w:val="2B3D4F"/>
          <w:sz w:val="20"/>
        </w:rPr>
        <w:t xml:space="preserve">(SE: </w:t>
      </w:r>
      <w:r>
        <w:rPr>
          <w:color w:val="2B3D4F"/>
          <w:spacing w:val="-2"/>
          <w:sz w:val="20"/>
        </w:rPr>
        <w:t>0.05%)</w:t>
      </w:r>
    </w:p>
    <w:p w14:paraId="498FFFC5" w14:textId="3CF19D83" w:rsidR="000436DE" w:rsidRDefault="00601773">
      <w:pPr>
        <w:pStyle w:val="ListParagraph"/>
        <w:numPr>
          <w:ilvl w:val="0"/>
          <w:numId w:val="3"/>
        </w:numPr>
        <w:tabs>
          <w:tab w:val="left" w:pos="561"/>
        </w:tabs>
        <w:spacing w:before="143"/>
        <w:ind w:left="561" w:hanging="199"/>
        <w:rPr>
          <w:sz w:val="20"/>
        </w:rPr>
      </w:pPr>
      <w:r>
        <w:rPr>
          <w:b/>
          <w:color w:val="2B3D4F"/>
          <w:sz w:val="20"/>
        </w:rPr>
        <w:t xml:space="preserve">Median surplus at maturity: $2,151,975 </w:t>
      </w:r>
      <w:r>
        <w:rPr>
          <w:color w:val="2B3D4F"/>
          <w:sz w:val="20"/>
        </w:rPr>
        <w:t>— the typical</w:t>
      </w:r>
      <w:r w:rsidR="003E60D9">
        <w:rPr>
          <w:rStyle w:val="FootnoteReference"/>
          <w:color w:val="2B3D4F"/>
          <w:sz w:val="20"/>
        </w:rPr>
        <w:footnoteReference w:id="1"/>
      </w:r>
      <w:r>
        <w:rPr>
          <w:color w:val="2B3D4F"/>
          <w:sz w:val="20"/>
        </w:rPr>
        <w:t xml:space="preserve"> mortgage generates substantial </w:t>
      </w:r>
      <w:r>
        <w:rPr>
          <w:color w:val="2B3D4F"/>
          <w:spacing w:val="-2"/>
          <w:sz w:val="20"/>
        </w:rPr>
        <w:t>surplus</w:t>
      </w:r>
    </w:p>
    <w:p w14:paraId="498FFFC6" w14:textId="77777777" w:rsidR="000436DE" w:rsidRDefault="00601773">
      <w:pPr>
        <w:pStyle w:val="ListParagraph"/>
        <w:numPr>
          <w:ilvl w:val="0"/>
          <w:numId w:val="3"/>
        </w:numPr>
        <w:tabs>
          <w:tab w:val="left" w:pos="561"/>
        </w:tabs>
        <w:spacing w:before="144"/>
        <w:ind w:left="561" w:hanging="199"/>
        <w:rPr>
          <w:sz w:val="20"/>
        </w:rPr>
      </w:pPr>
      <w:r>
        <w:rPr>
          <w:b/>
          <w:color w:val="2B3D4F"/>
          <w:sz w:val="20"/>
        </w:rPr>
        <w:t xml:space="preserve">LMI fair premium: $1,716 </w:t>
      </w:r>
      <w:r>
        <w:rPr>
          <w:color w:val="2B3D4F"/>
          <w:sz w:val="20"/>
        </w:rPr>
        <w:t xml:space="preserve">— commercially viable insurance </w:t>
      </w:r>
      <w:r>
        <w:rPr>
          <w:color w:val="2B3D4F"/>
          <w:spacing w:val="-4"/>
          <w:sz w:val="20"/>
        </w:rPr>
        <w:t>cost</w:t>
      </w:r>
    </w:p>
    <w:p w14:paraId="498FFFC7" w14:textId="77777777" w:rsidR="000436DE" w:rsidRDefault="00601773">
      <w:pPr>
        <w:pStyle w:val="ListParagraph"/>
        <w:numPr>
          <w:ilvl w:val="0"/>
          <w:numId w:val="3"/>
        </w:numPr>
        <w:tabs>
          <w:tab w:val="left" w:pos="562"/>
        </w:tabs>
        <w:spacing w:before="143" w:line="271" w:lineRule="auto"/>
        <w:ind w:right="709"/>
        <w:rPr>
          <w:sz w:val="20"/>
        </w:rPr>
      </w:pPr>
      <w:r>
        <w:rPr>
          <w:color w:val="2B3D4F"/>
          <w:sz w:val="20"/>
        </w:rPr>
        <w:t>The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mean-reverting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equity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model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reduces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long-term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volatility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by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pulling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returns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back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toward trend after deviations</w:t>
      </w:r>
    </w:p>
    <w:p w14:paraId="498FFFC8" w14:textId="77777777" w:rsidR="000436DE" w:rsidRDefault="00601773">
      <w:pPr>
        <w:pStyle w:val="ListParagraph"/>
        <w:numPr>
          <w:ilvl w:val="0"/>
          <w:numId w:val="3"/>
        </w:numPr>
        <w:tabs>
          <w:tab w:val="left" w:pos="562"/>
        </w:tabs>
        <w:spacing w:line="271" w:lineRule="auto"/>
        <w:ind w:right="766"/>
        <w:rPr>
          <w:sz w:val="20"/>
        </w:rPr>
      </w:pPr>
      <w:r>
        <w:rPr>
          <w:b/>
          <w:color w:val="2B3D4F"/>
          <w:sz w:val="20"/>
        </w:rPr>
        <w:t>Sensitivity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to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equity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assumptions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remains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high:</w:t>
      </w:r>
      <w:r>
        <w:rPr>
          <w:b/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PoD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ranges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from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0.02%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(goldilocks)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to 49.35% (severe stress)</w:t>
      </w:r>
    </w:p>
    <w:p w14:paraId="498FFFC9" w14:textId="77777777" w:rsidR="000436DE" w:rsidRDefault="00601773">
      <w:pPr>
        <w:pStyle w:val="ListParagraph"/>
        <w:numPr>
          <w:ilvl w:val="0"/>
          <w:numId w:val="3"/>
        </w:numPr>
        <w:tabs>
          <w:tab w:val="left" w:pos="561"/>
        </w:tabs>
        <w:ind w:left="561" w:hanging="199"/>
        <w:rPr>
          <w:sz w:val="20"/>
        </w:rPr>
      </w:pPr>
      <w:r>
        <w:rPr>
          <w:b/>
          <w:color w:val="2B3D4F"/>
          <w:sz w:val="20"/>
        </w:rPr>
        <w:t>Cash</w:t>
      </w:r>
      <w:r>
        <w:rPr>
          <w:b/>
          <w:color w:val="2B3D4F"/>
          <w:spacing w:val="-1"/>
          <w:sz w:val="20"/>
        </w:rPr>
        <w:t xml:space="preserve"> </w:t>
      </w:r>
      <w:r>
        <w:rPr>
          <w:b/>
          <w:color w:val="2B3D4F"/>
          <w:sz w:val="20"/>
        </w:rPr>
        <w:t>rate</w:t>
      </w:r>
      <w:r>
        <w:rPr>
          <w:b/>
          <w:color w:val="2B3D4F"/>
          <w:spacing w:val="-1"/>
          <w:sz w:val="20"/>
        </w:rPr>
        <w:t xml:space="preserve"> </w:t>
      </w:r>
      <w:r>
        <w:rPr>
          <w:b/>
          <w:color w:val="2B3D4F"/>
          <w:sz w:val="20"/>
        </w:rPr>
        <w:t>risk</w:t>
      </w:r>
      <w:r>
        <w:rPr>
          <w:b/>
          <w:color w:val="2B3D4F"/>
          <w:spacing w:val="-1"/>
          <w:sz w:val="20"/>
        </w:rPr>
        <w:t xml:space="preserve"> </w:t>
      </w:r>
      <w:r>
        <w:rPr>
          <w:b/>
          <w:color w:val="2B3D4F"/>
          <w:sz w:val="20"/>
        </w:rPr>
        <w:t>is</w:t>
      </w:r>
      <w:r>
        <w:rPr>
          <w:b/>
          <w:color w:val="2B3D4F"/>
          <w:spacing w:val="-1"/>
          <w:sz w:val="20"/>
        </w:rPr>
        <w:t xml:space="preserve"> </w:t>
      </w:r>
      <w:r>
        <w:rPr>
          <w:b/>
          <w:color w:val="2B3D4F"/>
          <w:sz w:val="20"/>
        </w:rPr>
        <w:t>the</w:t>
      </w:r>
      <w:r>
        <w:rPr>
          <w:b/>
          <w:color w:val="2B3D4F"/>
          <w:spacing w:val="-1"/>
          <w:sz w:val="20"/>
        </w:rPr>
        <w:t xml:space="preserve"> </w:t>
      </w:r>
      <w:r>
        <w:rPr>
          <w:b/>
          <w:color w:val="2B3D4F"/>
          <w:sz w:val="20"/>
        </w:rPr>
        <w:t>dominant</w:t>
      </w:r>
      <w:r>
        <w:rPr>
          <w:b/>
          <w:color w:val="2B3D4F"/>
          <w:spacing w:val="-1"/>
          <w:sz w:val="20"/>
        </w:rPr>
        <w:t xml:space="preserve"> </w:t>
      </w:r>
      <w:r>
        <w:rPr>
          <w:b/>
          <w:color w:val="2B3D4F"/>
          <w:sz w:val="20"/>
        </w:rPr>
        <w:t>tail</w:t>
      </w:r>
      <w:r>
        <w:rPr>
          <w:b/>
          <w:color w:val="2B3D4F"/>
          <w:spacing w:val="-1"/>
          <w:sz w:val="20"/>
        </w:rPr>
        <w:t xml:space="preserve"> </w:t>
      </w:r>
      <w:r>
        <w:rPr>
          <w:b/>
          <w:color w:val="2B3D4F"/>
          <w:sz w:val="20"/>
        </w:rPr>
        <w:t>risk:</w:t>
      </w:r>
      <w:r>
        <w:rPr>
          <w:b/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if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neutral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rate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settles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at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4.5%,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PoD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rises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z w:val="20"/>
        </w:rPr>
        <w:t>to</w:t>
      </w:r>
      <w:r>
        <w:rPr>
          <w:color w:val="2B3D4F"/>
          <w:spacing w:val="-1"/>
          <w:sz w:val="20"/>
        </w:rPr>
        <w:t xml:space="preserve"> </w:t>
      </w:r>
      <w:r>
        <w:rPr>
          <w:color w:val="2B3D4F"/>
          <w:spacing w:val="-2"/>
          <w:sz w:val="20"/>
        </w:rPr>
        <w:t>15.81%</w:t>
      </w:r>
    </w:p>
    <w:p w14:paraId="498FFFCA" w14:textId="77777777" w:rsidR="000436DE" w:rsidRDefault="00601773">
      <w:pPr>
        <w:pStyle w:val="ListParagraph"/>
        <w:numPr>
          <w:ilvl w:val="0"/>
          <w:numId w:val="3"/>
        </w:numPr>
        <w:tabs>
          <w:tab w:val="left" w:pos="561"/>
        </w:tabs>
        <w:spacing w:before="143"/>
        <w:ind w:left="561" w:hanging="199"/>
        <w:rPr>
          <w:sz w:val="20"/>
        </w:rPr>
      </w:pPr>
      <w:r>
        <w:rPr>
          <w:b/>
          <w:color w:val="2B3D4F"/>
          <w:sz w:val="20"/>
        </w:rPr>
        <w:t xml:space="preserve">Correlation has minimal impact: </w:t>
      </w:r>
      <w:r>
        <w:rPr>
          <w:color w:val="2B3D4F"/>
          <w:sz w:val="20"/>
        </w:rPr>
        <w:t xml:space="preserve">PoD ranges 2.4-0.58% across correlation -0.3 to </w:t>
      </w:r>
      <w:r>
        <w:rPr>
          <w:color w:val="2B3D4F"/>
          <w:spacing w:val="-4"/>
          <w:sz w:val="20"/>
        </w:rPr>
        <w:t>+0.6</w:t>
      </w:r>
    </w:p>
    <w:p w14:paraId="498FFFCB" w14:textId="77777777" w:rsidR="000436DE" w:rsidRDefault="00601773">
      <w:pPr>
        <w:pStyle w:val="ListParagraph"/>
        <w:numPr>
          <w:ilvl w:val="0"/>
          <w:numId w:val="3"/>
        </w:numPr>
        <w:tabs>
          <w:tab w:val="left" w:pos="561"/>
        </w:tabs>
        <w:spacing w:before="143"/>
        <w:ind w:left="561" w:hanging="199"/>
        <w:rPr>
          <w:sz w:val="20"/>
        </w:rPr>
      </w:pPr>
      <w:r>
        <w:rPr>
          <w:b/>
          <w:color w:val="2B3D4F"/>
          <w:sz w:val="20"/>
        </w:rPr>
        <w:t xml:space="preserve">Stagflation is the worst scenario: </w:t>
      </w:r>
      <w:r>
        <w:rPr>
          <w:color w:val="2B3D4F"/>
          <w:sz w:val="20"/>
        </w:rPr>
        <w:t xml:space="preserve">62.45% PoD under low returns + high vol + high </w:t>
      </w:r>
      <w:r>
        <w:rPr>
          <w:color w:val="2B3D4F"/>
          <w:spacing w:val="-2"/>
          <w:sz w:val="20"/>
        </w:rPr>
        <w:t>rates</w:t>
      </w:r>
    </w:p>
    <w:p w14:paraId="498FFFCC" w14:textId="77777777" w:rsidR="000436DE" w:rsidRDefault="000436DE">
      <w:pPr>
        <w:pStyle w:val="ListParagraph"/>
        <w:rPr>
          <w:sz w:val="20"/>
        </w:rPr>
        <w:sectPr w:rsidR="000436DE">
          <w:pgSz w:w="11910" w:h="16840"/>
          <w:pgMar w:top="1480" w:right="1275" w:bottom="820" w:left="1275" w:header="0" w:footer="625" w:gutter="0"/>
          <w:cols w:space="720"/>
        </w:sectPr>
      </w:pPr>
    </w:p>
    <w:p w14:paraId="498FFFCD" w14:textId="72E89BAF" w:rsidR="000436DE" w:rsidRDefault="00601773">
      <w:pPr>
        <w:pStyle w:val="Heading1"/>
        <w:jc w:val="both"/>
      </w:pPr>
      <w:r>
        <w:rPr>
          <w:color w:val="2B3D4F"/>
        </w:rPr>
        <w:lastRenderedPageBreak/>
        <w:t>Model Overview — v14c (</w:t>
      </w:r>
      <w:r w:rsidR="00752F91">
        <w:rPr>
          <w:color w:val="2B3D4F"/>
        </w:rPr>
        <w:t>Optimized</w:t>
      </w:r>
      <w:r>
        <w:rPr>
          <w:color w:val="2B3D4F"/>
        </w:rPr>
        <w:t xml:space="preserve">) </w:t>
      </w:r>
      <w:r>
        <w:rPr>
          <w:color w:val="2B3D4F"/>
          <w:spacing w:val="-2"/>
        </w:rPr>
        <w:t>Parameters</w:t>
      </w:r>
    </w:p>
    <w:p w14:paraId="498FFFCE" w14:textId="6383B0E8" w:rsidR="000436DE" w:rsidRDefault="00601773">
      <w:pPr>
        <w:pStyle w:val="BodyText"/>
        <w:spacing w:before="242"/>
        <w:ind w:left="262"/>
        <w:jc w:val="both"/>
      </w:pPr>
      <w:r>
        <w:rPr>
          <w:color w:val="2B3D4F"/>
        </w:rPr>
        <w:t>The table below summari</w:t>
      </w:r>
      <w:r w:rsidR="00752F91">
        <w:rPr>
          <w:color w:val="2B3D4F"/>
        </w:rPr>
        <w:t>z</w:t>
      </w:r>
      <w:r>
        <w:rPr>
          <w:color w:val="2B3D4F"/>
        </w:rPr>
        <w:t xml:space="preserve">es all key model </w:t>
      </w:r>
      <w:r>
        <w:rPr>
          <w:color w:val="2B3D4F"/>
          <w:spacing w:val="-2"/>
        </w:rPr>
        <w:t>parameters.</w:t>
      </w:r>
    </w:p>
    <w:p w14:paraId="498FFFCF" w14:textId="77777777" w:rsidR="000436DE" w:rsidRDefault="000436DE">
      <w:pPr>
        <w:pStyle w:val="BodyText"/>
        <w:spacing w:before="7" w:after="1"/>
        <w:rPr>
          <w:sz w:val="17"/>
        </w:rPr>
      </w:pPr>
    </w:p>
    <w:tbl>
      <w:tblPr>
        <w:tblW w:w="0" w:type="auto"/>
        <w:tblInd w:w="289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5102"/>
      </w:tblGrid>
      <w:tr w:rsidR="000436DE" w14:paraId="498FFFD2" w14:textId="77777777">
        <w:trPr>
          <w:trHeight w:val="370"/>
        </w:trPr>
        <w:tc>
          <w:tcPr>
            <w:tcW w:w="3685" w:type="dxa"/>
            <w:shd w:val="clear" w:color="auto" w:fill="2B3D4F"/>
          </w:tcPr>
          <w:p w14:paraId="498FFFD0" w14:textId="77777777" w:rsidR="000436DE" w:rsidRDefault="00601773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</w:t>
            </w:r>
          </w:p>
        </w:tc>
        <w:tc>
          <w:tcPr>
            <w:tcW w:w="5102" w:type="dxa"/>
            <w:shd w:val="clear" w:color="auto" w:fill="2B3D4F"/>
          </w:tcPr>
          <w:p w14:paraId="498FFFD1" w14:textId="77777777" w:rsidR="000436DE" w:rsidRDefault="00601773">
            <w:pPr>
              <w:pStyle w:val="TableParagraph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</w:t>
            </w:r>
          </w:p>
        </w:tc>
      </w:tr>
      <w:tr w:rsidR="000436DE" w14:paraId="498FFFD5" w14:textId="77777777">
        <w:trPr>
          <w:trHeight w:val="370"/>
        </w:trPr>
        <w:tc>
          <w:tcPr>
            <w:tcW w:w="3685" w:type="dxa"/>
          </w:tcPr>
          <w:p w14:paraId="498FFFD3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Home </w:t>
            </w:r>
            <w:r>
              <w:rPr>
                <w:color w:val="2B3D4F"/>
                <w:spacing w:val="-2"/>
                <w:sz w:val="18"/>
              </w:rPr>
              <w:t>Value</w:t>
            </w:r>
          </w:p>
        </w:tc>
        <w:tc>
          <w:tcPr>
            <w:tcW w:w="5102" w:type="dxa"/>
          </w:tcPr>
          <w:p w14:paraId="498FFFD4" w14:textId="166F176F" w:rsidR="000436DE" w:rsidRPr="007E2983" w:rsidRDefault="00601773">
            <w:pPr>
              <w:pStyle w:val="TableParagraph"/>
              <w:ind w:left="10"/>
              <w:rPr>
                <w:sz w:val="18"/>
              </w:rPr>
            </w:pPr>
            <w:r w:rsidRPr="007E2983">
              <w:rPr>
                <w:strike/>
                <w:color w:val="2B3D4F"/>
                <w:spacing w:val="-2"/>
                <w:sz w:val="18"/>
              </w:rPr>
              <w:t>$2,000,000</w:t>
            </w:r>
            <w:r w:rsidR="007E2983">
              <w:rPr>
                <w:color w:val="2B3D4F"/>
                <w:spacing w:val="-2"/>
                <w:sz w:val="18"/>
              </w:rPr>
              <w:t>$1,500,000</w:t>
            </w:r>
          </w:p>
        </w:tc>
      </w:tr>
      <w:tr w:rsidR="000436DE" w14:paraId="498FFFD8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8FFFD6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LVR</w:t>
            </w:r>
          </w:p>
        </w:tc>
        <w:tc>
          <w:tcPr>
            <w:tcW w:w="5102" w:type="dxa"/>
            <w:shd w:val="clear" w:color="auto" w:fill="F7F9F9"/>
          </w:tcPr>
          <w:p w14:paraId="498FFFD7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80%</w:t>
            </w:r>
          </w:p>
        </w:tc>
      </w:tr>
      <w:tr w:rsidR="000436DE" w14:paraId="498FFFDB" w14:textId="77777777">
        <w:trPr>
          <w:trHeight w:val="370"/>
        </w:trPr>
        <w:tc>
          <w:tcPr>
            <w:tcW w:w="3685" w:type="dxa"/>
          </w:tcPr>
          <w:p w14:paraId="498FFFD9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Initial </w:t>
            </w:r>
            <w:r>
              <w:rPr>
                <w:color w:val="2B3D4F"/>
                <w:spacing w:val="-4"/>
                <w:sz w:val="18"/>
              </w:rPr>
              <w:t>Loan</w:t>
            </w:r>
          </w:p>
        </w:tc>
        <w:tc>
          <w:tcPr>
            <w:tcW w:w="5102" w:type="dxa"/>
          </w:tcPr>
          <w:p w14:paraId="498FFFDA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$1,300,000</w:t>
            </w:r>
          </w:p>
        </w:tc>
      </w:tr>
      <w:tr w:rsidR="000436DE" w14:paraId="498FFFDE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8FFFDC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Annuity</w:t>
            </w:r>
          </w:p>
        </w:tc>
        <w:tc>
          <w:tcPr>
            <w:tcW w:w="5102" w:type="dxa"/>
            <w:shd w:val="clear" w:color="auto" w:fill="F7F9F9"/>
          </w:tcPr>
          <w:p w14:paraId="498FFFDD" w14:textId="367DFAF3" w:rsidR="000436DE" w:rsidRDefault="00601773">
            <w:pPr>
              <w:pStyle w:val="TableParagraph"/>
              <w:ind w:left="10"/>
              <w:rPr>
                <w:sz w:val="18"/>
              </w:rPr>
            </w:pPr>
            <w:r w:rsidRPr="007E2983">
              <w:rPr>
                <w:strike/>
                <w:color w:val="2B3D4F"/>
                <w:sz w:val="18"/>
              </w:rPr>
              <w:t>$30,000</w:t>
            </w:r>
            <w:r w:rsidR="007E2983">
              <w:rPr>
                <w:color w:val="2B3D4F"/>
                <w:sz w:val="18"/>
              </w:rPr>
              <w:t xml:space="preserve"> $26,240</w:t>
            </w:r>
            <w:r>
              <w:rPr>
                <w:color w:val="2B3D4F"/>
                <w:sz w:val="18"/>
              </w:rPr>
              <w:t xml:space="preserve">/yr × </w:t>
            </w:r>
            <w:r>
              <w:rPr>
                <w:color w:val="2B3D4F"/>
                <w:spacing w:val="-4"/>
                <w:sz w:val="18"/>
              </w:rPr>
              <w:t>10yr</w:t>
            </w:r>
          </w:p>
        </w:tc>
      </w:tr>
      <w:tr w:rsidR="000436DE" w14:paraId="498FFFE1" w14:textId="77777777">
        <w:trPr>
          <w:trHeight w:val="370"/>
        </w:trPr>
        <w:tc>
          <w:tcPr>
            <w:tcW w:w="3685" w:type="dxa"/>
          </w:tcPr>
          <w:p w14:paraId="498FFFDF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Equity </w:t>
            </w:r>
            <w:r>
              <w:rPr>
                <w:color w:val="2B3D4F"/>
                <w:spacing w:val="-2"/>
                <w:sz w:val="18"/>
              </w:rPr>
              <w:t>Model</w:t>
            </w:r>
          </w:p>
        </w:tc>
        <w:tc>
          <w:tcPr>
            <w:tcW w:w="5102" w:type="dxa"/>
          </w:tcPr>
          <w:p w14:paraId="498FFFE0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GBM + Mean Reversion (Shevchenko </w:t>
            </w:r>
            <w:r>
              <w:rPr>
                <w:color w:val="2B3D4F"/>
                <w:spacing w:val="-2"/>
                <w:sz w:val="18"/>
              </w:rPr>
              <w:t>2026)</w:t>
            </w:r>
          </w:p>
        </w:tc>
      </w:tr>
      <w:tr w:rsidR="000436DE" w14:paraId="498FFFE4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8FFFE2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Expected </w:t>
            </w:r>
            <w:r>
              <w:rPr>
                <w:color w:val="2B3D4F"/>
                <w:spacing w:val="-2"/>
                <w:sz w:val="18"/>
              </w:rPr>
              <w:t>Return</w:t>
            </w:r>
          </w:p>
        </w:tc>
        <w:tc>
          <w:tcPr>
            <w:tcW w:w="5102" w:type="dxa"/>
            <w:shd w:val="clear" w:color="auto" w:fill="F7F9F9"/>
          </w:tcPr>
          <w:p w14:paraId="498FFFE3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9.2%</w:t>
            </w:r>
          </w:p>
        </w:tc>
      </w:tr>
      <w:tr w:rsidR="000436DE" w14:paraId="498FFFE7" w14:textId="77777777">
        <w:trPr>
          <w:trHeight w:val="370"/>
        </w:trPr>
        <w:tc>
          <w:tcPr>
            <w:tcW w:w="3685" w:type="dxa"/>
          </w:tcPr>
          <w:p w14:paraId="498FFFE5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Equity </w:t>
            </w:r>
            <w:r>
              <w:rPr>
                <w:color w:val="2B3D4F"/>
                <w:spacing w:val="-2"/>
                <w:sz w:val="18"/>
              </w:rPr>
              <w:t>Volatility</w:t>
            </w:r>
          </w:p>
        </w:tc>
        <w:tc>
          <w:tcPr>
            <w:tcW w:w="5102" w:type="dxa"/>
          </w:tcPr>
          <w:p w14:paraId="498FFFE6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16.6%</w:t>
            </w:r>
          </w:p>
        </w:tc>
      </w:tr>
      <w:tr w:rsidR="000436DE" w14:paraId="498FFFEA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8FFFE8" w14:textId="77777777" w:rsidR="000436DE" w:rsidRDefault="00601773">
            <w:pPr>
              <w:pStyle w:val="TableParagraph"/>
              <w:spacing w:before="74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Mean Reversion Speed </w:t>
            </w:r>
            <w:r>
              <w:rPr>
                <w:color w:val="2B3D4F"/>
                <w:spacing w:val="-5"/>
                <w:sz w:val="18"/>
              </w:rPr>
              <w:t>(</w:t>
            </w:r>
            <w:r>
              <w:rPr>
                <w:rFonts w:ascii="Symbol" w:hAnsi="Symbol"/>
                <w:color w:val="2B3D4F"/>
                <w:spacing w:val="-5"/>
                <w:sz w:val="18"/>
              </w:rPr>
              <w:t></w:t>
            </w:r>
            <w:r>
              <w:rPr>
                <w:color w:val="2B3D4F"/>
                <w:spacing w:val="-5"/>
                <w:sz w:val="18"/>
              </w:rPr>
              <w:t>)</w:t>
            </w:r>
          </w:p>
        </w:tc>
        <w:tc>
          <w:tcPr>
            <w:tcW w:w="5102" w:type="dxa"/>
            <w:shd w:val="clear" w:color="auto" w:fill="F7F9F9"/>
          </w:tcPr>
          <w:p w14:paraId="498FFFE9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0.163</w:t>
            </w:r>
          </w:p>
        </w:tc>
      </w:tr>
      <w:tr w:rsidR="000436DE" w14:paraId="498FFFED" w14:textId="77777777">
        <w:trPr>
          <w:trHeight w:val="370"/>
        </w:trPr>
        <w:tc>
          <w:tcPr>
            <w:tcW w:w="3685" w:type="dxa"/>
          </w:tcPr>
          <w:p w14:paraId="498FFFEB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Buffer Cap / </w:t>
            </w:r>
            <w:r>
              <w:rPr>
                <w:color w:val="2B3D4F"/>
                <w:spacing w:val="-2"/>
                <w:sz w:val="18"/>
              </w:rPr>
              <w:t>Floor</w:t>
            </w:r>
          </w:p>
        </w:tc>
        <w:tc>
          <w:tcPr>
            <w:tcW w:w="5102" w:type="dxa"/>
          </w:tcPr>
          <w:p w14:paraId="498FFFEC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140% / </w:t>
            </w:r>
            <w:r>
              <w:rPr>
                <w:color w:val="2B3D4F"/>
                <w:spacing w:val="-5"/>
                <w:sz w:val="18"/>
              </w:rPr>
              <w:t>80%</w:t>
            </w:r>
          </w:p>
        </w:tc>
      </w:tr>
      <w:tr w:rsidR="000436DE" w14:paraId="498FFFF0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8FFFEE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Wholesale </w:t>
            </w:r>
            <w:r>
              <w:rPr>
                <w:color w:val="2B3D4F"/>
                <w:spacing w:val="-2"/>
                <w:sz w:val="18"/>
              </w:rPr>
              <w:t>Margin</w:t>
            </w:r>
          </w:p>
        </w:tc>
        <w:tc>
          <w:tcPr>
            <w:tcW w:w="5102" w:type="dxa"/>
            <w:shd w:val="clear" w:color="auto" w:fill="F7F9F9"/>
          </w:tcPr>
          <w:p w14:paraId="498FFFEF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2.0%</w:t>
            </w:r>
          </w:p>
        </w:tc>
      </w:tr>
      <w:tr w:rsidR="000436DE" w14:paraId="498FFFF3" w14:textId="77777777">
        <w:trPr>
          <w:trHeight w:val="370"/>
        </w:trPr>
        <w:tc>
          <w:tcPr>
            <w:tcW w:w="3685" w:type="dxa"/>
          </w:tcPr>
          <w:p w14:paraId="498FFFF1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NIM</w:t>
            </w:r>
          </w:p>
        </w:tc>
        <w:tc>
          <w:tcPr>
            <w:tcW w:w="5102" w:type="dxa"/>
          </w:tcPr>
          <w:p w14:paraId="498FFFF2" w14:textId="4897B02C" w:rsidR="000436DE" w:rsidRDefault="00601773">
            <w:pPr>
              <w:pStyle w:val="TableParagraph"/>
              <w:ind w:left="10"/>
              <w:rPr>
                <w:sz w:val="18"/>
              </w:rPr>
            </w:pPr>
            <w:r w:rsidRPr="00A555D9">
              <w:rPr>
                <w:strike/>
                <w:color w:val="2B3D4F"/>
                <w:spacing w:val="-2"/>
                <w:sz w:val="18"/>
              </w:rPr>
              <w:t>0.7</w:t>
            </w:r>
            <w:r w:rsidR="00A555D9" w:rsidRPr="00A555D9">
              <w:rPr>
                <w:strike/>
                <w:color w:val="2B3D4F"/>
                <w:spacing w:val="-2"/>
                <w:sz w:val="18"/>
              </w:rPr>
              <w:t>0</w:t>
            </w:r>
            <w:r w:rsidR="00A555D9" w:rsidRPr="00634086">
              <w:rPr>
                <w:color w:val="2B3D4F"/>
                <w:spacing w:val="-2"/>
                <w:sz w:val="18"/>
              </w:rPr>
              <w:t xml:space="preserve"> </w:t>
            </w:r>
            <w:r w:rsidR="00A555D9">
              <w:rPr>
                <w:color w:val="2B3D4F"/>
                <w:spacing w:val="-2"/>
                <w:sz w:val="18"/>
              </w:rPr>
              <w:t>0.75</w:t>
            </w:r>
            <w:r>
              <w:rPr>
                <w:color w:val="2B3D4F"/>
                <w:spacing w:val="-2"/>
                <w:sz w:val="18"/>
              </w:rPr>
              <w:t>%</w:t>
            </w:r>
          </w:p>
        </w:tc>
      </w:tr>
      <w:tr w:rsidR="000436DE" w14:paraId="498FFFF6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8FFFF4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FP </w:t>
            </w:r>
            <w:r>
              <w:rPr>
                <w:color w:val="2B3D4F"/>
                <w:spacing w:val="-2"/>
                <w:sz w:val="18"/>
              </w:rPr>
              <w:t>Margin</w:t>
            </w:r>
          </w:p>
        </w:tc>
        <w:tc>
          <w:tcPr>
            <w:tcW w:w="5102" w:type="dxa"/>
            <w:shd w:val="clear" w:color="auto" w:fill="F7F9F9"/>
          </w:tcPr>
          <w:p w14:paraId="498FFFF5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0.50%</w:t>
            </w:r>
          </w:p>
        </w:tc>
      </w:tr>
      <w:tr w:rsidR="000436DE" w14:paraId="498FFFF9" w14:textId="77777777">
        <w:trPr>
          <w:trHeight w:val="370"/>
        </w:trPr>
        <w:tc>
          <w:tcPr>
            <w:tcW w:w="3685" w:type="dxa"/>
          </w:tcPr>
          <w:p w14:paraId="498FFFF7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Hedging </w:t>
            </w:r>
            <w:r>
              <w:rPr>
                <w:color w:val="2B3D4F"/>
                <w:spacing w:val="-5"/>
                <w:sz w:val="18"/>
              </w:rPr>
              <w:t>Fee</w:t>
            </w:r>
          </w:p>
        </w:tc>
        <w:tc>
          <w:tcPr>
            <w:tcW w:w="5102" w:type="dxa"/>
          </w:tcPr>
          <w:p w14:paraId="498FFFF8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0.25%</w:t>
            </w:r>
          </w:p>
        </w:tc>
      </w:tr>
      <w:tr w:rsidR="000436DE" w14:paraId="498FFFFC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8FFFFA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Total Variable </w:t>
            </w:r>
            <w:r>
              <w:rPr>
                <w:color w:val="2B3D4F"/>
                <w:spacing w:val="-2"/>
                <w:sz w:val="18"/>
              </w:rPr>
              <w:t>Costs</w:t>
            </w:r>
          </w:p>
        </w:tc>
        <w:tc>
          <w:tcPr>
            <w:tcW w:w="5102" w:type="dxa"/>
            <w:shd w:val="clear" w:color="auto" w:fill="F7F9F9"/>
          </w:tcPr>
          <w:p w14:paraId="498FFFFB" w14:textId="691E6A45" w:rsidR="000436DE" w:rsidRDefault="00601773">
            <w:pPr>
              <w:pStyle w:val="TableParagraph"/>
              <w:ind w:left="10"/>
              <w:rPr>
                <w:sz w:val="18"/>
              </w:rPr>
            </w:pPr>
            <w:r w:rsidRPr="0086622E">
              <w:rPr>
                <w:strike/>
                <w:color w:val="2B3D4F"/>
                <w:spacing w:val="-2"/>
                <w:sz w:val="18"/>
              </w:rPr>
              <w:t>3.45</w:t>
            </w:r>
            <w:r w:rsidR="0086622E">
              <w:rPr>
                <w:color w:val="2B3D4F"/>
                <w:spacing w:val="-2"/>
                <w:sz w:val="18"/>
              </w:rPr>
              <w:t xml:space="preserve"> 3.5</w:t>
            </w:r>
            <w:r>
              <w:rPr>
                <w:color w:val="2B3D4F"/>
                <w:spacing w:val="-2"/>
                <w:sz w:val="18"/>
              </w:rPr>
              <w:t>%</w:t>
            </w:r>
          </w:p>
        </w:tc>
      </w:tr>
      <w:tr w:rsidR="000436DE" w14:paraId="498FFFFF" w14:textId="77777777">
        <w:trPr>
          <w:trHeight w:val="370"/>
        </w:trPr>
        <w:tc>
          <w:tcPr>
            <w:tcW w:w="3685" w:type="dxa"/>
          </w:tcPr>
          <w:p w14:paraId="498FFFFD" w14:textId="77777777" w:rsidR="000436DE" w:rsidRDefault="00601773">
            <w:pPr>
              <w:pStyle w:val="TableParagraph"/>
              <w:spacing w:before="74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Cash Rate (</w:t>
            </w:r>
            <w:r>
              <w:rPr>
                <w:rFonts w:ascii="Symbol" w:hAnsi="Symbol"/>
                <w:color w:val="2B3D4F"/>
                <w:sz w:val="18"/>
              </w:rPr>
              <w:t></w:t>
            </w:r>
            <w:r>
              <w:rPr>
                <w:rFonts w:ascii="Times New Roman" w:hAnsi="Times New Roman"/>
                <w:color w:val="2B3D4F"/>
                <w:spacing w:val="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/ </w:t>
            </w:r>
            <w:r>
              <w:rPr>
                <w:rFonts w:ascii="Symbol" w:hAnsi="Symbol"/>
                <w:color w:val="2B3D4F"/>
                <w:sz w:val="18"/>
              </w:rPr>
              <w:t></w:t>
            </w:r>
            <w:r>
              <w:rPr>
                <w:rFonts w:ascii="Times New Roman" w:hAnsi="Times New Roman"/>
                <w:color w:val="2B3D4F"/>
                <w:spacing w:val="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/ </w:t>
            </w:r>
            <w:r>
              <w:rPr>
                <w:rFonts w:ascii="Symbol" w:hAnsi="Symbol"/>
                <w:color w:val="2B3D4F"/>
                <w:spacing w:val="-5"/>
                <w:sz w:val="18"/>
              </w:rPr>
              <w:t></w:t>
            </w:r>
            <w:r>
              <w:rPr>
                <w:color w:val="2B3D4F"/>
                <w:spacing w:val="-5"/>
                <w:sz w:val="18"/>
              </w:rPr>
              <w:t>)</w:t>
            </w:r>
          </w:p>
        </w:tc>
        <w:tc>
          <w:tcPr>
            <w:tcW w:w="5102" w:type="dxa"/>
          </w:tcPr>
          <w:p w14:paraId="498FFFFE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2.13% / 0.24 / </w:t>
            </w:r>
            <w:r>
              <w:rPr>
                <w:color w:val="2B3D4F"/>
                <w:spacing w:val="-2"/>
                <w:sz w:val="18"/>
              </w:rPr>
              <w:t>1.22%</w:t>
            </w:r>
          </w:p>
        </w:tc>
      </w:tr>
      <w:tr w:rsidR="000436DE" w14:paraId="49900002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900000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Cash Rate </w:t>
            </w:r>
            <w:r>
              <w:rPr>
                <w:color w:val="2B3D4F"/>
                <w:spacing w:val="-2"/>
                <w:sz w:val="18"/>
              </w:rPr>
              <w:t>Initial</w:t>
            </w:r>
          </w:p>
        </w:tc>
        <w:tc>
          <w:tcPr>
            <w:tcW w:w="5102" w:type="dxa"/>
            <w:shd w:val="clear" w:color="auto" w:fill="F7F9F9"/>
          </w:tcPr>
          <w:p w14:paraId="49900001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4.21%</w:t>
            </w:r>
          </w:p>
        </w:tc>
      </w:tr>
      <w:tr w:rsidR="000436DE" w14:paraId="49900005" w14:textId="77777777">
        <w:trPr>
          <w:trHeight w:val="370"/>
        </w:trPr>
        <w:tc>
          <w:tcPr>
            <w:tcW w:w="3685" w:type="dxa"/>
          </w:tcPr>
          <w:p w14:paraId="49900003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Correlation (equity-</w:t>
            </w:r>
            <w:r>
              <w:rPr>
                <w:color w:val="2B3D4F"/>
                <w:spacing w:val="-2"/>
                <w:sz w:val="18"/>
              </w:rPr>
              <w:t>rate)</w:t>
            </w:r>
          </w:p>
        </w:tc>
        <w:tc>
          <w:tcPr>
            <w:tcW w:w="5102" w:type="dxa"/>
          </w:tcPr>
          <w:p w14:paraId="49900004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0.30</w:t>
            </w:r>
          </w:p>
        </w:tc>
      </w:tr>
      <w:tr w:rsidR="000436DE" w14:paraId="49900008" w14:textId="77777777">
        <w:trPr>
          <w:trHeight w:val="370"/>
        </w:trPr>
        <w:tc>
          <w:tcPr>
            <w:tcW w:w="3685" w:type="dxa"/>
            <w:shd w:val="clear" w:color="auto" w:fill="F7F9F9"/>
          </w:tcPr>
          <w:p w14:paraId="49900006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Collar </w:t>
            </w:r>
            <w:r>
              <w:rPr>
                <w:color w:val="2B3D4F"/>
                <w:spacing w:val="-2"/>
                <w:sz w:val="18"/>
              </w:rPr>
              <w:t>Price</w:t>
            </w:r>
          </w:p>
        </w:tc>
        <w:tc>
          <w:tcPr>
            <w:tcW w:w="5102" w:type="dxa"/>
            <w:shd w:val="clear" w:color="auto" w:fill="F7F9F9"/>
          </w:tcPr>
          <w:p w14:paraId="49900007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+0.046% (near zero net </w:t>
            </w:r>
            <w:r>
              <w:rPr>
                <w:color w:val="2B3D4F"/>
                <w:spacing w:val="-2"/>
                <w:sz w:val="18"/>
              </w:rPr>
              <w:t>cost)</w:t>
            </w:r>
          </w:p>
        </w:tc>
      </w:tr>
      <w:tr w:rsidR="000436DE" w14:paraId="4990000B" w14:textId="77777777">
        <w:trPr>
          <w:trHeight w:val="370"/>
        </w:trPr>
        <w:tc>
          <w:tcPr>
            <w:tcW w:w="3685" w:type="dxa"/>
          </w:tcPr>
          <w:p w14:paraId="49900009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Simulation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  <w:tc>
          <w:tcPr>
            <w:tcW w:w="5102" w:type="dxa"/>
          </w:tcPr>
          <w:p w14:paraId="4990000A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50,000</w:t>
            </w:r>
          </w:p>
        </w:tc>
      </w:tr>
    </w:tbl>
    <w:p w14:paraId="3797193D" w14:textId="77777777" w:rsidR="00876BDA" w:rsidRDefault="00876BDA">
      <w:pPr>
        <w:pStyle w:val="BodyText"/>
        <w:spacing w:before="7" w:line="283" w:lineRule="auto"/>
        <w:ind w:left="262" w:right="259"/>
        <w:jc w:val="both"/>
        <w:rPr>
          <w:b/>
          <w:color w:val="2B3D4F"/>
        </w:rPr>
      </w:pPr>
    </w:p>
    <w:p w14:paraId="4990000C" w14:textId="32A75C6D" w:rsidR="000436DE" w:rsidRPr="00694CF4" w:rsidRDefault="00601773" w:rsidP="00694CF4">
      <w:pPr>
        <w:pStyle w:val="BodyText"/>
        <w:spacing w:before="7" w:line="283" w:lineRule="auto"/>
        <w:ind w:left="262" w:right="259"/>
        <w:jc w:val="both"/>
        <w:rPr>
          <w:color w:val="2B3D4F"/>
        </w:rPr>
      </w:pPr>
      <w:r w:rsidRPr="00D25713">
        <w:rPr>
          <w:b/>
          <w:color w:val="EE0000"/>
        </w:rPr>
        <w:t xml:space="preserve">Note on the </w:t>
      </w:r>
      <w:r w:rsidR="003176AC" w:rsidRPr="00D25713">
        <w:rPr>
          <w:b/>
          <w:color w:val="EE0000"/>
        </w:rPr>
        <w:t>Stochastic Model used</w:t>
      </w:r>
      <w:r w:rsidRPr="00D25713">
        <w:rPr>
          <w:b/>
          <w:color w:val="EE0000"/>
        </w:rPr>
        <w:t xml:space="preserve">: </w:t>
      </w:r>
      <w:r w:rsidRPr="00D25713">
        <w:rPr>
          <w:color w:val="EE0000"/>
        </w:rPr>
        <w:t xml:space="preserve">The Shevchenko (2026) paper proposes a </w:t>
      </w:r>
      <w:r w:rsidRPr="00D25713">
        <w:rPr>
          <w:strike/>
          <w:color w:val="EE0000"/>
        </w:rPr>
        <w:t xml:space="preserve">novel </w:t>
      </w:r>
      <w:r w:rsidRPr="00D25713">
        <w:rPr>
          <w:color w:val="EE0000"/>
        </w:rPr>
        <w:t>model</w:t>
      </w:r>
      <w:r w:rsidR="00876BDA" w:rsidRPr="00D25713">
        <w:rPr>
          <w:color w:val="EE0000"/>
        </w:rPr>
        <w:t xml:space="preserve"> </w:t>
      </w:r>
      <w:r w:rsidR="004A4C9B" w:rsidRPr="00D25713">
        <w:rPr>
          <w:color w:val="EE0000"/>
        </w:rPr>
        <w:t>considered to be statistically accurate for stochastically modelling index returns</w:t>
      </w:r>
      <w:r w:rsidR="00D25713" w:rsidRPr="00D25713">
        <w:rPr>
          <w:color w:val="EE0000"/>
        </w:rPr>
        <w:t>.</w:t>
      </w:r>
      <w:r w:rsidR="00D25713">
        <w:rPr>
          <w:color w:val="2B3D4F"/>
        </w:rPr>
        <w:t xml:space="preserve"> Index</w:t>
      </w:r>
      <w:r>
        <w:rPr>
          <w:color w:val="2B3D4F"/>
        </w:rPr>
        <w:t xml:space="preserve">: S(t+1) = S(t)(1 + </w:t>
      </w:r>
      <w:r>
        <w:rPr>
          <w:rFonts w:ascii="Symbol" w:hAnsi="Symbol"/>
          <w:color w:val="2B3D4F"/>
        </w:rPr>
        <w:t>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 xml:space="preserve">+ </w:t>
      </w:r>
      <w:r>
        <w:rPr>
          <w:rFonts w:ascii="Symbol" w:hAnsi="Symbol"/>
          <w:color w:val="2B3D4F"/>
        </w:rPr>
        <w:t></w:t>
      </w:r>
      <w:r>
        <w:rPr>
          <w:rFonts w:ascii="Symbol" w:hAnsi="Symbol"/>
          <w:color w:val="2B3D4F"/>
        </w:rPr>
        <w:t></w:t>
      </w:r>
      <w:r>
        <w:rPr>
          <w:color w:val="2B3D4F"/>
        </w:rPr>
        <w:t xml:space="preserve">) + </w:t>
      </w:r>
      <w:r>
        <w:rPr>
          <w:rFonts w:ascii="Symbol" w:hAnsi="Symbol"/>
          <w:color w:val="2B3D4F"/>
        </w:rPr>
        <w:t></w:t>
      </w:r>
      <w:r>
        <w:rPr>
          <w:color w:val="2B3D4F"/>
        </w:rPr>
        <w:t xml:space="preserve">(M(t) - S(t)), where M(t) is a deterministic trend growing at the expected return rate. The mean reversion parameter </w:t>
      </w:r>
      <w:r>
        <w:rPr>
          <w:rFonts w:ascii="Symbol" w:hAnsi="Symbol"/>
          <w:color w:val="2B3D4F"/>
        </w:rPr>
        <w:t></w:t>
      </w:r>
      <w:r>
        <w:rPr>
          <w:rFonts w:ascii="Times New Roman" w:hAnsi="Times New Roman"/>
          <w:color w:val="2B3D4F"/>
        </w:rPr>
        <w:t xml:space="preserve"> </w:t>
      </w:r>
      <w:r>
        <w:rPr>
          <w:color w:val="2B3D4F"/>
        </w:rPr>
        <w:t>= 0.163 means that roughly 16% of any deviation from trend is corrected each year. This significantly reduces the probability of extreme outcomes over 30 years compared to pure GBM, where deviations compound indefinitely.</w:t>
      </w:r>
    </w:p>
    <w:p w14:paraId="7A656472" w14:textId="35E091AB" w:rsidR="00694CF4" w:rsidRPr="00694CF4" w:rsidRDefault="00D25713" w:rsidP="001B5721">
      <w:pPr>
        <w:widowControl/>
        <w:autoSpaceDE/>
        <w:autoSpaceDN/>
        <w:spacing w:before="100" w:beforeAutospacing="1" w:after="100" w:afterAutospacing="1"/>
        <w:ind w:left="262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E971E0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A considerable body of academic literature </w:t>
      </w:r>
      <w:r w:rsidR="001B5721" w:rsidRPr="00E971E0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adopts </w:t>
      </w:r>
      <w:r w:rsidR="00694CF4" w:rsidRPr="00694CF4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analys</w:t>
      </w:r>
      <w:r w:rsidR="001B5721" w:rsidRPr="00E971E0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is of</w:t>
      </w:r>
      <w:r w:rsidR="00694CF4" w:rsidRPr="00694CF4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stock returns by reference to P/E ratios</w:t>
      </w:r>
      <w:r w:rsidR="001B5721" w:rsidRPr="00E971E0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. This</w:t>
      </w:r>
      <w:r w:rsidR="00694CF4" w:rsidRPr="00694CF4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is fundamentally different from analysing index returns, because the mechanics of mean reversion, valuation anchoring, and portfolio evolution diverge completely.</w:t>
      </w:r>
    </w:p>
    <w:p w14:paraId="68987D89" w14:textId="125E79BD" w:rsidR="00694CF4" w:rsidRPr="00694CF4" w:rsidRDefault="00694CF4" w:rsidP="0023364A">
      <w:pPr>
        <w:widowControl/>
        <w:autoSpaceDE/>
        <w:autoSpaceDN/>
        <w:spacing w:before="100" w:beforeAutospacing="1" w:after="100" w:afterAutospacing="1"/>
        <w:ind w:firstLine="262"/>
        <w:jc w:val="both"/>
        <w:outlineLvl w:val="1"/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</w:pP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Valuation anchor strength</w:t>
      </w:r>
    </w:p>
    <w:p w14:paraId="3D14EE93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ind w:firstLine="262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Individual stocks</w:t>
      </w:r>
    </w:p>
    <w:p w14:paraId="67115644" w14:textId="77777777" w:rsidR="00694CF4" w:rsidRPr="00385F6D" w:rsidRDefault="00694CF4" w:rsidP="002336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P/E is a 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strong anchor</w:t>
      </w:r>
    </w:p>
    <w:p w14:paraId="1F2758E1" w14:textId="77777777" w:rsidR="00694CF4" w:rsidRPr="00385F6D" w:rsidRDefault="00694CF4" w:rsidP="002336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High P/E → lower subsequent returns</w:t>
      </w:r>
    </w:p>
    <w:p w14:paraId="438971FA" w14:textId="77777777" w:rsidR="00694CF4" w:rsidRPr="00385F6D" w:rsidRDefault="00694CF4" w:rsidP="002336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Low P/E → higher subsequent returns</w:t>
      </w:r>
    </w:p>
    <w:p w14:paraId="0AE64D2E" w14:textId="77777777" w:rsidR="00694CF4" w:rsidRPr="00385F6D" w:rsidRDefault="00694CF4" w:rsidP="002336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Anchored by 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firm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level fundamentals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: ROIC, margins, growth, competitive position</w:t>
      </w:r>
    </w:p>
    <w:p w14:paraId="402B8A85" w14:textId="77777777" w:rsidR="00694CF4" w:rsidRPr="00385F6D" w:rsidRDefault="00694CF4" w:rsidP="0023364A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Cross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sectional mean reversion is well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documented (value vs growth)</w:t>
      </w:r>
    </w:p>
    <w:p w14:paraId="616DDB9E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lastRenderedPageBreak/>
        <w:t>Index (S&amp;P 500)</w:t>
      </w:r>
    </w:p>
    <w:p w14:paraId="4E8F2B4B" w14:textId="77777777" w:rsidR="00694CF4" w:rsidRPr="00385F6D" w:rsidRDefault="00694CF4" w:rsidP="0023364A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P/E is a 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weak, drifting anchor</w:t>
      </w:r>
    </w:p>
    <w:p w14:paraId="657CAF7D" w14:textId="77777777" w:rsidR="00694CF4" w:rsidRPr="00385F6D" w:rsidRDefault="00694CF4" w:rsidP="0023364A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Index P/E moves with: </w:t>
      </w:r>
    </w:p>
    <w:p w14:paraId="7B65470B" w14:textId="7B172998" w:rsidR="00694CF4" w:rsidRPr="00385F6D" w:rsidRDefault="00694CF4" w:rsidP="0023364A">
      <w:pPr>
        <w:widowControl/>
        <w:numPr>
          <w:ilvl w:val="1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Sector weight</w:t>
      </w:r>
      <w:r w:rsidR="00D074E9"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ing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 (tech vs industrials)</w:t>
      </w:r>
    </w:p>
    <w:p w14:paraId="77635BC4" w14:textId="77777777" w:rsidR="00694CF4" w:rsidRPr="00385F6D" w:rsidRDefault="00694CF4" w:rsidP="0023364A">
      <w:pPr>
        <w:widowControl/>
        <w:numPr>
          <w:ilvl w:val="1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Profit margin regimes</w:t>
      </w:r>
    </w:p>
    <w:p w14:paraId="39C46843" w14:textId="77777777" w:rsidR="00694CF4" w:rsidRPr="00385F6D" w:rsidRDefault="00694CF4" w:rsidP="0023364A">
      <w:pPr>
        <w:widowControl/>
        <w:numPr>
          <w:ilvl w:val="1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Globalisation cycles</w:t>
      </w:r>
    </w:p>
    <w:p w14:paraId="3EE0A822" w14:textId="77777777" w:rsidR="00694CF4" w:rsidRPr="00385F6D" w:rsidRDefault="00694CF4" w:rsidP="0023364A">
      <w:pPr>
        <w:widowControl/>
        <w:numPr>
          <w:ilvl w:val="1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Real rate regimes</w:t>
      </w:r>
    </w:p>
    <w:p w14:paraId="4B9EF95E" w14:textId="77777777" w:rsidR="00694CF4" w:rsidRPr="00385F6D" w:rsidRDefault="00694CF4" w:rsidP="0023364A">
      <w:pPr>
        <w:widowControl/>
        <w:numPr>
          <w:ilvl w:val="1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Accounting changes (intangibles, buybacks)</w:t>
      </w:r>
    </w:p>
    <w:p w14:paraId="2CD15CE6" w14:textId="77777777" w:rsidR="00694CF4" w:rsidRPr="00385F6D" w:rsidRDefault="00694CF4" w:rsidP="0023364A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 “mean” itself moves, so reversion is weak</w:t>
      </w:r>
    </w:p>
    <w:p w14:paraId="76E59D8C" w14:textId="77777777" w:rsidR="00694CF4" w:rsidRPr="00385F6D" w:rsidRDefault="00694CF4" w:rsidP="00D074E9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Implication: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>Stock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level P/E → predictive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>Index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level P/E → unstable, regime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dependent, weak signal</w:t>
      </w:r>
    </w:p>
    <w:p w14:paraId="017F06B9" w14:textId="6D7E6048" w:rsidR="00694CF4" w:rsidRPr="00694CF4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</w:pP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Survivorship and composition effects</w:t>
      </w:r>
    </w:p>
    <w:p w14:paraId="01319046" w14:textId="77777777" w:rsidR="00694CF4" w:rsidRPr="00694CF4" w:rsidRDefault="00694CF4" w:rsidP="00AD6564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sz w:val="20"/>
          <w:szCs w:val="20"/>
          <w:lang w:val="en-GB" w:eastAsia="zh-CN"/>
        </w:rPr>
      </w:pPr>
      <w:r w:rsidRPr="00694CF4">
        <w:rPr>
          <w:rFonts w:asciiTheme="minorBidi" w:eastAsia="Times New Roman" w:hAnsiTheme="minorBidi" w:cstheme="minorBidi"/>
          <w:b/>
          <w:bCs/>
          <w:sz w:val="20"/>
          <w:szCs w:val="20"/>
          <w:lang w:val="en-GB" w:eastAsia="zh-CN"/>
        </w:rPr>
        <w:t>Individual stocks</w:t>
      </w:r>
    </w:p>
    <w:p w14:paraId="65786F39" w14:textId="77777777" w:rsidR="00694CF4" w:rsidRPr="00385F6D" w:rsidRDefault="00694CF4" w:rsidP="00AD6564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No survivorship bias</w:t>
      </w:r>
    </w:p>
    <w:p w14:paraId="584FBFF9" w14:textId="77777777" w:rsidR="00694CF4" w:rsidRPr="00385F6D" w:rsidRDefault="00694CF4" w:rsidP="00AD6564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Losers stay losers</w:t>
      </w:r>
    </w:p>
    <w:p w14:paraId="06849205" w14:textId="77777777" w:rsidR="00694CF4" w:rsidRPr="00385F6D" w:rsidRDefault="00694CF4" w:rsidP="00AD6564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Mean reversion is visible because the firm doesn’t get replaced</w:t>
      </w:r>
    </w:p>
    <w:p w14:paraId="26E28623" w14:textId="77777777" w:rsidR="00694CF4" w:rsidRPr="00385F6D" w:rsidRDefault="00694CF4" w:rsidP="00AD6564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Index</w:t>
      </w:r>
    </w:p>
    <w:p w14:paraId="5B40A8A8" w14:textId="77777777" w:rsidR="00694CF4" w:rsidRPr="00385F6D" w:rsidRDefault="00694CF4" w:rsidP="00AD6564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Self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cleaning mechanism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: </w:t>
      </w:r>
    </w:p>
    <w:p w14:paraId="5A931ADC" w14:textId="77777777" w:rsidR="00694CF4" w:rsidRPr="00385F6D" w:rsidRDefault="00694CF4" w:rsidP="00AD6564">
      <w:pPr>
        <w:widowControl/>
        <w:numPr>
          <w:ilvl w:val="1"/>
          <w:numId w:val="7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Losers drop out</w:t>
      </w:r>
    </w:p>
    <w:p w14:paraId="587A3DFE" w14:textId="77777777" w:rsidR="00694CF4" w:rsidRPr="00385F6D" w:rsidRDefault="00694CF4" w:rsidP="00AD6564">
      <w:pPr>
        <w:widowControl/>
        <w:numPr>
          <w:ilvl w:val="1"/>
          <w:numId w:val="7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Winners get larger weights</w:t>
      </w:r>
    </w:p>
    <w:p w14:paraId="64A90B78" w14:textId="77777777" w:rsidR="00694CF4" w:rsidRPr="00385F6D" w:rsidRDefault="00694CF4" w:rsidP="00AD6564">
      <w:pPr>
        <w:widowControl/>
        <w:numPr>
          <w:ilvl w:val="1"/>
          <w:numId w:val="7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New sectors emerge</w:t>
      </w:r>
    </w:p>
    <w:p w14:paraId="4429DE66" w14:textId="5055A00E" w:rsidR="00694CF4" w:rsidRPr="00385F6D" w:rsidRDefault="00694CF4" w:rsidP="00AD6564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This d</w:t>
      </w:r>
      <w:r w:rsidR="00804424"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im</w:t>
      </w:r>
      <w:r w:rsidR="0084172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</w:t>
      </w:r>
      <w:r w:rsidR="00804424"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ishes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valuation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 mean reversion</w:t>
      </w:r>
    </w:p>
    <w:p w14:paraId="1545C6CC" w14:textId="3C4EDC2F" w:rsidR="00694CF4" w:rsidRPr="00385F6D" w:rsidRDefault="00694CF4" w:rsidP="00AD656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Implication: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 xml:space="preserve">Index returns behave like a 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drifting portfolio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, not a fixed set of </w:t>
      </w:r>
      <w:r w:rsidR="004B7751"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company </w:t>
      </w:r>
      <w:r w:rsidR="00804424"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stocks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.</w:t>
      </w:r>
    </w:p>
    <w:p w14:paraId="5B17C4BC" w14:textId="2EE77387" w:rsidR="00694CF4" w:rsidRPr="00694CF4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</w:pP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Distribution of returns</w:t>
      </w:r>
    </w:p>
    <w:p w14:paraId="39E34A65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Individual stocks</w:t>
      </w:r>
    </w:p>
    <w:p w14:paraId="5FA9E652" w14:textId="77777777" w:rsidR="00694CF4" w:rsidRPr="0077019F" w:rsidRDefault="00694CF4" w:rsidP="002336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77019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Heavy left tail (bankruptcy, delisting)</w:t>
      </w:r>
    </w:p>
    <w:p w14:paraId="13F5CBA2" w14:textId="77777777" w:rsidR="00694CF4" w:rsidRPr="0077019F" w:rsidRDefault="00694CF4" w:rsidP="002336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77019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Mean reversion partly compensates for idiosyncratic blow</w:t>
      </w:r>
      <w:r w:rsidRPr="0077019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ups</w:t>
      </w:r>
    </w:p>
    <w:p w14:paraId="5791B248" w14:textId="77777777" w:rsidR="00694CF4" w:rsidRPr="0077019F" w:rsidRDefault="00694CF4" w:rsidP="0023364A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77019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P/E helps forecast relative returns</w:t>
      </w:r>
    </w:p>
    <w:p w14:paraId="0B716959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Index</w:t>
      </w:r>
    </w:p>
    <w:p w14:paraId="18E3321B" w14:textId="77777777" w:rsidR="00694CF4" w:rsidRPr="00385F6D" w:rsidRDefault="00694CF4" w:rsidP="0023364A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Left tail truncated by construction</w:t>
      </w:r>
    </w:p>
    <w:p w14:paraId="5F06072E" w14:textId="77777777" w:rsidR="00694CF4" w:rsidRPr="00385F6D" w:rsidRDefault="00694CF4" w:rsidP="0023364A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Winners dominate long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run returns</w:t>
      </w:r>
    </w:p>
    <w:p w14:paraId="054E5398" w14:textId="6147CCDA" w:rsidR="00694CF4" w:rsidRPr="00385F6D" w:rsidRDefault="00694CF4" w:rsidP="0023364A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P/E has weak explanatory power </w:t>
      </w:r>
      <w:r w:rsidR="00FE6275"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over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="00FE6275"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long duration 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30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year horizons</w:t>
      </w:r>
    </w:p>
    <w:p w14:paraId="28E9A691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Implication: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 xml:space="preserve">Index returns are dominated by 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compounding of winners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, not valuation reversion.</w:t>
      </w:r>
    </w:p>
    <w:p w14:paraId="0F53CE87" w14:textId="06220917" w:rsidR="00694CF4" w:rsidRPr="00694CF4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</w:pP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What P/E is actually measuring</w:t>
      </w:r>
    </w:p>
    <w:p w14:paraId="1D26D142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Individual stocks</w:t>
      </w:r>
    </w:p>
    <w:p w14:paraId="75369E00" w14:textId="77777777" w:rsidR="00694CF4" w:rsidRPr="00385F6D" w:rsidRDefault="00694CF4" w:rsidP="0023364A">
      <w:pPr>
        <w:widowControl/>
        <w:numPr>
          <w:ilvl w:val="0"/>
          <w:numId w:val="7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P/E reflects 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firm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specific mispricing</w:t>
      </w:r>
    </w:p>
    <w:p w14:paraId="4B585BB6" w14:textId="77777777" w:rsidR="00694CF4" w:rsidRPr="00385F6D" w:rsidRDefault="00694CF4" w:rsidP="0023364A">
      <w:pPr>
        <w:widowControl/>
        <w:numPr>
          <w:ilvl w:val="0"/>
          <w:numId w:val="7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Reversion is a correction of expectations vs fundamentals</w:t>
      </w:r>
    </w:p>
    <w:p w14:paraId="17C33CBF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lastRenderedPageBreak/>
        <w:t>Index</w:t>
      </w:r>
    </w:p>
    <w:p w14:paraId="37FE26E1" w14:textId="77777777" w:rsidR="00694CF4" w:rsidRPr="00385F6D" w:rsidRDefault="00694CF4" w:rsidP="0023364A">
      <w:pPr>
        <w:widowControl/>
        <w:numPr>
          <w:ilvl w:val="0"/>
          <w:numId w:val="7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pt-PT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pt-PT" w:eastAsia="zh-CN"/>
        </w:rPr>
        <w:t xml:space="preserve">P/E reflects 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pt-PT" w:eastAsia="zh-CN"/>
        </w:rPr>
        <w:t>macro regime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pt-PT" w:eastAsia="zh-CN"/>
        </w:rPr>
        <w:t xml:space="preserve">: </w:t>
      </w:r>
    </w:p>
    <w:p w14:paraId="2C26681F" w14:textId="77777777" w:rsidR="00694CF4" w:rsidRPr="00385F6D" w:rsidRDefault="00694CF4" w:rsidP="0023364A">
      <w:pPr>
        <w:widowControl/>
        <w:numPr>
          <w:ilvl w:val="1"/>
          <w:numId w:val="7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Real rates</w:t>
      </w:r>
    </w:p>
    <w:p w14:paraId="587533B1" w14:textId="77777777" w:rsidR="00694CF4" w:rsidRPr="00385F6D" w:rsidRDefault="00694CF4" w:rsidP="0023364A">
      <w:pPr>
        <w:widowControl/>
        <w:numPr>
          <w:ilvl w:val="1"/>
          <w:numId w:val="7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Inflation regime</w:t>
      </w:r>
    </w:p>
    <w:p w14:paraId="234D039D" w14:textId="77777777" w:rsidR="00694CF4" w:rsidRPr="00385F6D" w:rsidRDefault="00694CF4" w:rsidP="0023364A">
      <w:pPr>
        <w:widowControl/>
        <w:numPr>
          <w:ilvl w:val="1"/>
          <w:numId w:val="7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Profit share of GDP</w:t>
      </w:r>
    </w:p>
    <w:p w14:paraId="5C90709B" w14:textId="77777777" w:rsidR="00694CF4" w:rsidRPr="00385F6D" w:rsidRDefault="00694CF4" w:rsidP="0023364A">
      <w:pPr>
        <w:widowControl/>
        <w:numPr>
          <w:ilvl w:val="1"/>
          <w:numId w:val="7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Sector composition</w:t>
      </w:r>
    </w:p>
    <w:p w14:paraId="2C3CCA98" w14:textId="77777777" w:rsidR="00694CF4" w:rsidRPr="00385F6D" w:rsidRDefault="00694CF4" w:rsidP="0023364A">
      <w:pPr>
        <w:widowControl/>
        <w:numPr>
          <w:ilvl w:val="1"/>
          <w:numId w:val="7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Globalisation/productivity cycles</w:t>
      </w:r>
    </w:p>
    <w:p w14:paraId="3334EC5B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Implication: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>Index P/E is a macro indicator, not a valuation anchor.</w:t>
      </w:r>
    </w:p>
    <w:p w14:paraId="3B8FB1C8" w14:textId="673011FA" w:rsidR="00694CF4" w:rsidRPr="00694CF4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</w:pP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Predictive power over long horizons</w:t>
      </w:r>
    </w:p>
    <w:p w14:paraId="12A41575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Individual stocks</w:t>
      </w:r>
    </w:p>
    <w:p w14:paraId="3BD7EE24" w14:textId="77777777" w:rsidR="00694CF4" w:rsidRPr="00385F6D" w:rsidRDefault="00694CF4" w:rsidP="0023364A">
      <w:pPr>
        <w:widowControl/>
        <w:numPr>
          <w:ilvl w:val="0"/>
          <w:numId w:val="76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P/E predicts: </w:t>
      </w:r>
    </w:p>
    <w:p w14:paraId="65D79D3D" w14:textId="77777777" w:rsidR="00694CF4" w:rsidRPr="00385F6D" w:rsidRDefault="00694CF4" w:rsidP="0023364A">
      <w:pPr>
        <w:widowControl/>
        <w:numPr>
          <w:ilvl w:val="1"/>
          <w:numId w:val="76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1–5 year returns (strong)</w:t>
      </w:r>
    </w:p>
    <w:p w14:paraId="1BB815EA" w14:textId="77777777" w:rsidR="00694CF4" w:rsidRPr="00385F6D" w:rsidRDefault="00694CF4" w:rsidP="0023364A">
      <w:pPr>
        <w:widowControl/>
        <w:numPr>
          <w:ilvl w:val="1"/>
          <w:numId w:val="76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5–10 year returns (moderate)</w:t>
      </w:r>
    </w:p>
    <w:p w14:paraId="002D62F1" w14:textId="77777777" w:rsidR="00694CF4" w:rsidRPr="00385F6D" w:rsidRDefault="00694CF4" w:rsidP="0023364A">
      <w:pPr>
        <w:widowControl/>
        <w:numPr>
          <w:ilvl w:val="1"/>
          <w:numId w:val="76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10+ years (weak but still present)</w:t>
      </w:r>
    </w:p>
    <w:p w14:paraId="68395C1D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Index</w:t>
      </w:r>
    </w:p>
    <w:p w14:paraId="7B8FB6F3" w14:textId="77777777" w:rsidR="00694CF4" w:rsidRPr="00385F6D" w:rsidRDefault="00694CF4" w:rsidP="0023364A">
      <w:pPr>
        <w:widowControl/>
        <w:numPr>
          <w:ilvl w:val="0"/>
          <w:numId w:val="77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P/E predicts: </w:t>
      </w:r>
    </w:p>
    <w:p w14:paraId="536A7E83" w14:textId="77777777" w:rsidR="00694CF4" w:rsidRPr="00385F6D" w:rsidRDefault="00694CF4" w:rsidP="0023364A">
      <w:pPr>
        <w:widowControl/>
        <w:numPr>
          <w:ilvl w:val="1"/>
          <w:numId w:val="77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1–5 year returns (weak)</w:t>
      </w:r>
    </w:p>
    <w:p w14:paraId="378459B5" w14:textId="77777777" w:rsidR="00694CF4" w:rsidRPr="00385F6D" w:rsidRDefault="00694CF4" w:rsidP="0023364A">
      <w:pPr>
        <w:widowControl/>
        <w:numPr>
          <w:ilvl w:val="1"/>
          <w:numId w:val="77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5–10 year returns (moderate)</w:t>
      </w:r>
    </w:p>
    <w:p w14:paraId="6B7240BB" w14:textId="77777777" w:rsidR="00694CF4" w:rsidRPr="00385F6D" w:rsidRDefault="00694CF4" w:rsidP="0023364A">
      <w:pPr>
        <w:widowControl/>
        <w:numPr>
          <w:ilvl w:val="1"/>
          <w:numId w:val="77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10–30 year returns (very weak)</w:t>
      </w:r>
    </w:p>
    <w:p w14:paraId="192A26D2" w14:textId="58B45EED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Implication: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>For 30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year modellin</w:t>
      </w:r>
      <w:r w:rsidR="004D5665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g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, index P/E is almost irrelevant.</w:t>
      </w:r>
    </w:p>
    <w:p w14:paraId="41F46EEE" w14:textId="0AB9FC81" w:rsidR="00694CF4" w:rsidRPr="00694CF4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</w:pP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Modelling consequences for our 30</w:t>
      </w: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noBreakHyphen/>
        <w:t xml:space="preserve">year S&amp;P </w:t>
      </w:r>
      <w:r w:rsidR="001817DC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Index</w:t>
      </w:r>
      <w:r w:rsidR="003425FB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 xml:space="preserve"> funding en</w:t>
      </w:r>
      <w:r w:rsidRPr="00694CF4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gine</w:t>
      </w:r>
    </w:p>
    <w:p w14:paraId="5950676B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Stock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level modelling</w:t>
      </w:r>
    </w:p>
    <w:p w14:paraId="7C9C59B2" w14:textId="77777777" w:rsidR="00694CF4" w:rsidRPr="00385F6D" w:rsidRDefault="00694CF4" w:rsidP="0023364A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Use valuation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 mean reversion</w:t>
      </w:r>
    </w:p>
    <w:p w14:paraId="1529FC1A" w14:textId="77777777" w:rsidR="00694CF4" w:rsidRPr="00385F6D" w:rsidRDefault="00694CF4" w:rsidP="0023364A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OU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like behaviour in valuation spreads</w:t>
      </w:r>
    </w:p>
    <w:p w14:paraId="06B91D6F" w14:textId="77777777" w:rsidR="00694CF4" w:rsidRPr="00385F6D" w:rsidRDefault="00694CF4" w:rsidP="0023364A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Cross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sectional factors matter (value, quality, profitability)</w:t>
      </w:r>
    </w:p>
    <w:p w14:paraId="06AAD058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Index</w:t>
      </w: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level modelling</w:t>
      </w:r>
    </w:p>
    <w:p w14:paraId="6207691A" w14:textId="77777777" w:rsidR="00694CF4" w:rsidRPr="00385F6D" w:rsidRDefault="00694CF4" w:rsidP="0023364A">
      <w:pPr>
        <w:widowControl/>
        <w:numPr>
          <w:ilvl w:val="0"/>
          <w:numId w:val="7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Use: </w:t>
      </w:r>
    </w:p>
    <w:p w14:paraId="5157FFEF" w14:textId="77777777" w:rsidR="00694CF4" w:rsidRPr="00385F6D" w:rsidRDefault="00694CF4" w:rsidP="0023364A">
      <w:pPr>
        <w:widowControl/>
        <w:numPr>
          <w:ilvl w:val="1"/>
          <w:numId w:val="7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GBM with stochastic drift</w:t>
      </w:r>
    </w:p>
    <w:p w14:paraId="38024679" w14:textId="77777777" w:rsidR="00694CF4" w:rsidRPr="00385F6D" w:rsidRDefault="00694CF4" w:rsidP="0023364A">
      <w:pPr>
        <w:widowControl/>
        <w:numPr>
          <w:ilvl w:val="1"/>
          <w:numId w:val="7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Regime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switching volatility</w:t>
      </w:r>
    </w:p>
    <w:p w14:paraId="4A5650D8" w14:textId="77777777" w:rsidR="00694CF4" w:rsidRPr="00385F6D" w:rsidRDefault="00694CF4" w:rsidP="0023364A">
      <w:pPr>
        <w:widowControl/>
        <w:numPr>
          <w:ilvl w:val="1"/>
          <w:numId w:val="7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Weak valuation reversion</w:t>
      </w:r>
    </w:p>
    <w:p w14:paraId="6C6853D8" w14:textId="77777777" w:rsidR="00694CF4" w:rsidRPr="00385F6D" w:rsidRDefault="00694CF4" w:rsidP="0023364A">
      <w:pPr>
        <w:widowControl/>
        <w:numPr>
          <w:ilvl w:val="0"/>
          <w:numId w:val="7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Do not embed strong P/E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 mean reversion</w:t>
      </w:r>
    </w:p>
    <w:p w14:paraId="79657C74" w14:textId="77777777" w:rsidR="00694CF4" w:rsidRPr="00385F6D" w:rsidRDefault="00694CF4" w:rsidP="0023364A">
      <w:pPr>
        <w:widowControl/>
        <w:numPr>
          <w:ilvl w:val="0"/>
          <w:numId w:val="79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Drift uncertainty dominates valuation effects over 30 years</w:t>
      </w:r>
    </w:p>
    <w:p w14:paraId="45645910" w14:textId="77777777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Implication: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>Index behaves like a regime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switching GBM, not a mean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reverting valuation process.</w:t>
      </w:r>
    </w:p>
    <w:p w14:paraId="2CB38EE4" w14:textId="5F05CAB1" w:rsidR="00694CF4" w:rsidRPr="00694CF4" w:rsidRDefault="00A96A10" w:rsidP="0023364A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</w:pPr>
      <w:r w:rsidRPr="00A96A10">
        <w:rPr>
          <w:rFonts w:asciiTheme="minorBidi" w:eastAsia="Times New Roman" w:hAnsiTheme="minorBidi" w:cstheme="minorBidi"/>
          <w:b/>
          <w:bCs/>
          <w:color w:val="009999"/>
          <w:sz w:val="28"/>
          <w:szCs w:val="28"/>
          <w:lang w:val="en-GB" w:eastAsia="zh-CN"/>
        </w:rPr>
        <w:t>Conclusion</w:t>
      </w:r>
    </w:p>
    <w:p w14:paraId="7F7D939F" w14:textId="171ABD1B" w:rsidR="00694CF4" w:rsidRPr="00385F6D" w:rsidRDefault="00694CF4" w:rsidP="0023364A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Stock returns referenced to P/E ratios show strong valuation mean reversion.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/>
        <w:t>Index returns do not because the index is a self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optimising, regime</w:t>
      </w:r>
      <w:r w:rsidRPr="00385F6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drifting portfolio whose valuation anchor moves over time.</w:t>
      </w:r>
    </w:p>
    <w:p w14:paraId="2D319BF6" w14:textId="77777777" w:rsidR="00694CF4" w:rsidRDefault="00694CF4">
      <w:pPr>
        <w:pStyle w:val="BodyText"/>
        <w:spacing w:line="283" w:lineRule="auto"/>
        <w:jc w:val="both"/>
        <w:rPr>
          <w:lang w:val="en-GB"/>
        </w:rPr>
      </w:pPr>
    </w:p>
    <w:p w14:paraId="4990000E" w14:textId="77777777" w:rsidR="000436DE" w:rsidRDefault="00601773">
      <w:pPr>
        <w:pStyle w:val="Heading1"/>
      </w:pPr>
      <w:r>
        <w:rPr>
          <w:color w:val="2B3D4F"/>
        </w:rPr>
        <w:t xml:space="preserve">Base Case Results — 50,000 </w:t>
      </w:r>
      <w:r>
        <w:rPr>
          <w:color w:val="2B3D4F"/>
          <w:spacing w:val="-2"/>
        </w:rPr>
        <w:t>Paths</w:t>
      </w:r>
    </w:p>
    <w:p w14:paraId="4990000F" w14:textId="77777777" w:rsidR="000436DE" w:rsidRDefault="00601773">
      <w:pPr>
        <w:pStyle w:val="Heading2"/>
        <w:spacing w:before="304"/>
      </w:pPr>
      <w:r>
        <w:rPr>
          <w:color w:val="3497A8"/>
        </w:rPr>
        <w:t xml:space="preserve">Deficit Probability Over </w:t>
      </w:r>
      <w:r>
        <w:rPr>
          <w:color w:val="3497A8"/>
          <w:spacing w:val="-4"/>
        </w:rPr>
        <w:t>Time</w:t>
      </w:r>
    </w:p>
    <w:p w14:paraId="2B826E84" w14:textId="5C160B22" w:rsidR="00834169" w:rsidRDefault="009569A1" w:rsidP="006049E2">
      <w:pPr>
        <w:pStyle w:val="BodyText"/>
        <w:spacing w:before="68"/>
        <w:ind w:firstLine="262"/>
        <w:rPr>
          <w:b/>
          <w:noProof/>
        </w:rPr>
      </w:pPr>
      <w:r>
        <w:rPr>
          <w:b/>
          <w:noProof/>
        </w:rPr>
        <w:t xml:space="preserve">(NB: </w:t>
      </w:r>
      <w:r w:rsidR="006049E2">
        <w:rPr>
          <w:b/>
          <w:noProof/>
        </w:rPr>
        <w:t>B</w:t>
      </w:r>
      <w:r w:rsidR="00834169">
        <w:rPr>
          <w:b/>
          <w:noProof/>
        </w:rPr>
        <w:t>efore any claim is triggered</w:t>
      </w:r>
      <w:r>
        <w:rPr>
          <w:b/>
          <w:noProof/>
        </w:rPr>
        <w:t>)</w:t>
      </w:r>
    </w:p>
    <w:p w14:paraId="6AA6D16B" w14:textId="754A1D22" w:rsidR="006049E2" w:rsidRDefault="006049E2">
      <w:pPr>
        <w:pStyle w:val="BodyText"/>
        <w:spacing w:before="68"/>
        <w:rPr>
          <w:b/>
          <w:noProof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499001C0" wp14:editId="4045B790">
            <wp:simplePos x="0" y="0"/>
            <wp:positionH relativeFrom="page">
              <wp:posOffset>976630</wp:posOffset>
            </wp:positionH>
            <wp:positionV relativeFrom="paragraph">
              <wp:posOffset>253779</wp:posOffset>
            </wp:positionV>
            <wp:extent cx="5568847" cy="338651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847" cy="3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00010" w14:textId="374C860E" w:rsidR="000436DE" w:rsidRDefault="000436DE">
      <w:pPr>
        <w:pStyle w:val="BodyText"/>
        <w:spacing w:before="68"/>
        <w:rPr>
          <w:b/>
        </w:rPr>
      </w:pPr>
    </w:p>
    <w:p w14:paraId="3C6E6F5F" w14:textId="5BBB16B1" w:rsidR="001B3DB9" w:rsidRDefault="00601773">
      <w:pPr>
        <w:pStyle w:val="BodyText"/>
        <w:spacing w:before="217" w:line="292" w:lineRule="auto"/>
        <w:ind w:left="262" w:right="259"/>
        <w:jc w:val="both"/>
        <w:rPr>
          <w:color w:val="2B3D4F"/>
        </w:rPr>
      </w:pPr>
      <w:r>
        <w:rPr>
          <w:color w:val="2B3D4F"/>
        </w:rPr>
        <w:t>PoD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starts</w:t>
      </w:r>
      <w:r>
        <w:rPr>
          <w:color w:val="2B3D4F"/>
          <w:spacing w:val="-3"/>
        </w:rPr>
        <w:t xml:space="preserve"> </w:t>
      </w:r>
      <w:r w:rsidR="004D5665">
        <w:rPr>
          <w:color w:val="EE0000"/>
          <w:spacing w:val="-3"/>
        </w:rPr>
        <w:t xml:space="preserve">high </w:t>
      </w:r>
      <w:r>
        <w:rPr>
          <w:color w:val="2B3D4F"/>
        </w:rPr>
        <w:t>at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50.01%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year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1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(</w:t>
      </w:r>
      <w:r w:rsidRPr="001B3DB9">
        <w:rPr>
          <w:color w:val="EE0000"/>
        </w:rPr>
        <w:t>reflecting</w:t>
      </w:r>
      <w:r w:rsidRPr="001B3DB9">
        <w:rPr>
          <w:color w:val="EE0000"/>
          <w:spacing w:val="-3"/>
        </w:rPr>
        <w:t xml:space="preserve"> </w:t>
      </w:r>
      <w:r w:rsidR="009569A1" w:rsidRPr="001B3DB9">
        <w:rPr>
          <w:color w:val="EE0000"/>
          <w:spacing w:val="-3"/>
        </w:rPr>
        <w:t xml:space="preserve">deduction of </w:t>
      </w:r>
      <w:r w:rsidRPr="001B3DB9">
        <w:rPr>
          <w:color w:val="EE0000"/>
        </w:rPr>
        <w:t>upfront</w:t>
      </w:r>
      <w:r w:rsidRPr="001B3DB9">
        <w:rPr>
          <w:color w:val="EE0000"/>
          <w:spacing w:val="-3"/>
        </w:rPr>
        <w:t xml:space="preserve"> </w:t>
      </w:r>
      <w:r w:rsidRPr="001B3DB9">
        <w:rPr>
          <w:color w:val="EE0000"/>
        </w:rPr>
        <w:t>costs</w:t>
      </w:r>
      <w:r w:rsidRPr="001B3DB9">
        <w:rPr>
          <w:color w:val="EE0000"/>
          <w:spacing w:val="-3"/>
        </w:rPr>
        <w:t xml:space="preserve"> </w:t>
      </w:r>
      <w:r w:rsidRPr="001B3DB9">
        <w:rPr>
          <w:color w:val="EE0000"/>
        </w:rPr>
        <w:t>and</w:t>
      </w:r>
      <w:r w:rsidRPr="001B3DB9">
        <w:rPr>
          <w:color w:val="EE0000"/>
          <w:spacing w:val="-3"/>
        </w:rPr>
        <w:t xml:space="preserve"> </w:t>
      </w:r>
      <w:r w:rsidRPr="001B3DB9">
        <w:rPr>
          <w:color w:val="EE0000"/>
        </w:rPr>
        <w:t>annuity</w:t>
      </w:r>
      <w:r w:rsidRPr="001B3DB9">
        <w:rPr>
          <w:color w:val="EE0000"/>
          <w:spacing w:val="-3"/>
        </w:rPr>
        <w:t xml:space="preserve"> </w:t>
      </w:r>
      <w:r w:rsidRPr="001B3DB9">
        <w:rPr>
          <w:color w:val="EE0000"/>
        </w:rPr>
        <w:t>payments</w:t>
      </w:r>
      <w:r w:rsidR="009569A1" w:rsidRPr="001B3DB9">
        <w:rPr>
          <w:color w:val="EE0000"/>
        </w:rPr>
        <w:t xml:space="preserve"> from the mortgage offset account </w:t>
      </w:r>
      <w:r w:rsidR="001B3DB9" w:rsidRPr="001B3DB9">
        <w:rPr>
          <w:color w:val="EE0000"/>
        </w:rPr>
        <w:t xml:space="preserve">opening </w:t>
      </w:r>
      <w:r w:rsidR="009569A1" w:rsidRPr="001B3DB9">
        <w:rPr>
          <w:color w:val="EE0000"/>
        </w:rPr>
        <w:t>capital</w:t>
      </w:r>
      <w:r w:rsidR="001B3DB9" w:rsidRPr="001B3DB9">
        <w:rPr>
          <w:color w:val="EE0000"/>
        </w:rPr>
        <w:t xml:space="preserve"> balance</w:t>
      </w:r>
      <w:r w:rsidRPr="001B3DB9">
        <w:rPr>
          <w:color w:val="EE0000"/>
        </w:rPr>
        <w:t>)</w:t>
      </w:r>
      <w:r w:rsidRPr="001B3DB9">
        <w:rPr>
          <w:color w:val="EE0000"/>
          <w:spacing w:val="-3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declines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 xml:space="preserve">steadily to 1.2% by year 30. The steepest improvement occurs between years 10-20 </w:t>
      </w:r>
      <w:r w:rsidR="001B3DB9">
        <w:rPr>
          <w:color w:val="2B3D4F"/>
        </w:rPr>
        <w:t>for two reasons:</w:t>
      </w:r>
    </w:p>
    <w:p w14:paraId="7F4DD4D3" w14:textId="77777777" w:rsidR="001B3DB9" w:rsidRPr="001B3DB9" w:rsidRDefault="00601773" w:rsidP="001B3DB9">
      <w:pPr>
        <w:pStyle w:val="BodyText"/>
        <w:numPr>
          <w:ilvl w:val="0"/>
          <w:numId w:val="80"/>
        </w:numPr>
        <w:spacing w:before="217" w:line="292" w:lineRule="auto"/>
        <w:ind w:right="259"/>
        <w:jc w:val="both"/>
      </w:pPr>
      <w:r>
        <w:rPr>
          <w:color w:val="2B3D4F"/>
        </w:rPr>
        <w:t>P&amp;I amorti</w:t>
      </w:r>
      <w:r w:rsidR="00764BB1">
        <w:rPr>
          <w:color w:val="2B3D4F"/>
        </w:rPr>
        <w:t>z</w:t>
      </w:r>
      <w:r>
        <w:rPr>
          <w:color w:val="2B3D4F"/>
        </w:rPr>
        <w:t>ation reduces the mortgage balance</w:t>
      </w:r>
    </w:p>
    <w:p w14:paraId="1CEC1904" w14:textId="77777777" w:rsidR="000436DE" w:rsidRPr="001B3DB9" w:rsidRDefault="001B3DB9" w:rsidP="001B3DB9">
      <w:pPr>
        <w:pStyle w:val="BodyText"/>
        <w:numPr>
          <w:ilvl w:val="0"/>
          <w:numId w:val="80"/>
        </w:numPr>
        <w:spacing w:before="217" w:line="292" w:lineRule="auto"/>
        <w:ind w:right="259"/>
        <w:jc w:val="both"/>
      </w:pPr>
      <w:r>
        <w:rPr>
          <w:color w:val="2B3D4F"/>
        </w:rPr>
        <w:t>I</w:t>
      </w:r>
      <w:r w:rsidR="00601773">
        <w:rPr>
          <w:color w:val="2B3D4F"/>
        </w:rPr>
        <w:t>nvestment compounding accelerates</w:t>
      </w:r>
    </w:p>
    <w:p w14:paraId="391815CB" w14:textId="77777777" w:rsidR="001B3DB9" w:rsidRDefault="001B3DB9">
      <w:pPr>
        <w:pStyle w:val="Heading2"/>
        <w:spacing w:before="77"/>
        <w:rPr>
          <w:color w:val="3497A8"/>
        </w:rPr>
      </w:pPr>
    </w:p>
    <w:p w14:paraId="2BB3E37A" w14:textId="77777777" w:rsidR="001B3DB9" w:rsidRDefault="001B3DB9">
      <w:pPr>
        <w:rPr>
          <w:b/>
          <w:bCs/>
          <w:color w:val="3497A8"/>
          <w:sz w:val="28"/>
          <w:szCs w:val="28"/>
        </w:rPr>
      </w:pPr>
      <w:r>
        <w:rPr>
          <w:color w:val="3497A8"/>
        </w:rPr>
        <w:br w:type="page"/>
      </w:r>
    </w:p>
    <w:p w14:paraId="49900013" w14:textId="6C08E130" w:rsidR="000436DE" w:rsidRDefault="00601773">
      <w:pPr>
        <w:pStyle w:val="Heading2"/>
        <w:spacing w:before="77"/>
      </w:pPr>
      <w:r>
        <w:rPr>
          <w:color w:val="3497A8"/>
        </w:rPr>
        <w:lastRenderedPageBreak/>
        <w:t xml:space="preserve">Surplus Distribution — Fan </w:t>
      </w:r>
      <w:r>
        <w:rPr>
          <w:color w:val="3497A8"/>
          <w:spacing w:val="-2"/>
        </w:rPr>
        <w:t>Chart</w:t>
      </w:r>
    </w:p>
    <w:p w14:paraId="49900014" w14:textId="77777777" w:rsidR="000436DE" w:rsidRDefault="00601773">
      <w:pPr>
        <w:pStyle w:val="BodyText"/>
        <w:spacing w:before="67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499001C2" wp14:editId="499001C3">
            <wp:simplePos x="0" y="0"/>
            <wp:positionH relativeFrom="page">
              <wp:posOffset>974459</wp:posOffset>
            </wp:positionH>
            <wp:positionV relativeFrom="paragraph">
              <wp:posOffset>204385</wp:posOffset>
            </wp:positionV>
            <wp:extent cx="5574424" cy="338651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424" cy="3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00015" w14:textId="77777777" w:rsidR="000436DE" w:rsidRDefault="000436DE">
      <w:pPr>
        <w:pStyle w:val="BodyText"/>
        <w:spacing w:before="4"/>
        <w:rPr>
          <w:b/>
          <w:sz w:val="17"/>
        </w:rPr>
      </w:pPr>
    </w:p>
    <w:p w14:paraId="13C06959" w14:textId="77777777" w:rsidR="001B3DB9" w:rsidRDefault="001B3DB9">
      <w:pPr>
        <w:pStyle w:val="BodyText"/>
        <w:spacing w:before="4"/>
        <w:rPr>
          <w:b/>
          <w:sz w:val="17"/>
        </w:rPr>
      </w:pPr>
    </w:p>
    <w:p w14:paraId="3A714BA3" w14:textId="77777777" w:rsidR="001B3DB9" w:rsidRDefault="001B3DB9">
      <w:pPr>
        <w:pStyle w:val="BodyText"/>
        <w:spacing w:before="4"/>
        <w:rPr>
          <w:b/>
          <w:sz w:val="17"/>
        </w:rPr>
      </w:pPr>
    </w:p>
    <w:p w14:paraId="78E761C0" w14:textId="77777777" w:rsidR="001B3DB9" w:rsidRDefault="001B3DB9">
      <w:pPr>
        <w:pStyle w:val="BodyText"/>
        <w:spacing w:before="4"/>
        <w:rPr>
          <w:b/>
          <w:sz w:val="17"/>
        </w:rPr>
      </w:pPr>
    </w:p>
    <w:p w14:paraId="4C207999" w14:textId="77777777" w:rsidR="001B3DB9" w:rsidRDefault="001B3DB9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289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268"/>
        <w:gridCol w:w="3402"/>
      </w:tblGrid>
      <w:tr w:rsidR="000436DE" w14:paraId="49900019" w14:textId="77777777">
        <w:trPr>
          <w:trHeight w:val="370"/>
        </w:trPr>
        <w:tc>
          <w:tcPr>
            <w:tcW w:w="3118" w:type="dxa"/>
            <w:shd w:val="clear" w:color="auto" w:fill="2B3D4F"/>
          </w:tcPr>
          <w:p w14:paraId="49900016" w14:textId="77777777" w:rsidR="000436DE" w:rsidRDefault="00601773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2268" w:type="dxa"/>
            <w:shd w:val="clear" w:color="auto" w:fill="2B3D4F"/>
          </w:tcPr>
          <w:p w14:paraId="49900017" w14:textId="77777777" w:rsidR="000436DE" w:rsidRDefault="00601773">
            <w:pPr>
              <w:pStyle w:val="TableParagraph"/>
              <w:ind w:left="10" w:right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Value</w:t>
            </w:r>
          </w:p>
        </w:tc>
        <w:tc>
          <w:tcPr>
            <w:tcW w:w="3402" w:type="dxa"/>
            <w:shd w:val="clear" w:color="auto" w:fill="2B3D4F"/>
          </w:tcPr>
          <w:p w14:paraId="49900018" w14:textId="77777777" w:rsidR="000436DE" w:rsidRDefault="00601773"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Notes</w:t>
            </w:r>
          </w:p>
        </w:tc>
      </w:tr>
      <w:tr w:rsidR="000436DE" w14:paraId="4990001D" w14:textId="77777777">
        <w:trPr>
          <w:trHeight w:val="370"/>
        </w:trPr>
        <w:tc>
          <w:tcPr>
            <w:tcW w:w="3118" w:type="dxa"/>
          </w:tcPr>
          <w:p w14:paraId="4990001A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PoD (Year </w:t>
            </w:r>
            <w:r>
              <w:rPr>
                <w:color w:val="2B3D4F"/>
                <w:spacing w:val="-5"/>
                <w:sz w:val="18"/>
              </w:rPr>
              <w:t>30)</w:t>
            </w:r>
          </w:p>
        </w:tc>
        <w:tc>
          <w:tcPr>
            <w:tcW w:w="2268" w:type="dxa"/>
          </w:tcPr>
          <w:p w14:paraId="4990001B" w14:textId="77777777" w:rsidR="000436DE" w:rsidRDefault="00601773">
            <w:pPr>
              <w:pStyle w:val="TableParagraph"/>
              <w:ind w:left="10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1.2%</w:t>
            </w:r>
          </w:p>
        </w:tc>
        <w:tc>
          <w:tcPr>
            <w:tcW w:w="3402" w:type="dxa"/>
          </w:tcPr>
          <w:p w14:paraId="4990001C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SE: </w:t>
            </w:r>
            <w:r>
              <w:rPr>
                <w:color w:val="2B3D4F"/>
                <w:spacing w:val="-2"/>
                <w:sz w:val="18"/>
              </w:rPr>
              <w:t>0.05%</w:t>
            </w:r>
          </w:p>
        </w:tc>
      </w:tr>
      <w:tr w:rsidR="000436DE" w14:paraId="49900021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4990001E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Mean </w:t>
            </w:r>
            <w:r>
              <w:rPr>
                <w:color w:val="2B3D4F"/>
                <w:spacing w:val="-2"/>
                <w:sz w:val="18"/>
              </w:rPr>
              <w:t>Surplus</w:t>
            </w:r>
          </w:p>
        </w:tc>
        <w:tc>
          <w:tcPr>
            <w:tcW w:w="2268" w:type="dxa"/>
            <w:shd w:val="clear" w:color="auto" w:fill="F7F9F9"/>
          </w:tcPr>
          <w:p w14:paraId="4990001F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$2,435,992</w:t>
            </w:r>
          </w:p>
        </w:tc>
        <w:tc>
          <w:tcPr>
            <w:tcW w:w="3402" w:type="dxa"/>
            <w:shd w:val="clear" w:color="auto" w:fill="F7F9F9"/>
          </w:tcPr>
          <w:p w14:paraId="49900020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Average across all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</w:tr>
      <w:tr w:rsidR="000436DE" w14:paraId="49900025" w14:textId="77777777">
        <w:trPr>
          <w:trHeight w:val="370"/>
        </w:trPr>
        <w:tc>
          <w:tcPr>
            <w:tcW w:w="3118" w:type="dxa"/>
          </w:tcPr>
          <w:p w14:paraId="49900022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Median </w:t>
            </w:r>
            <w:r>
              <w:rPr>
                <w:color w:val="2B3D4F"/>
                <w:spacing w:val="-2"/>
                <w:sz w:val="18"/>
              </w:rPr>
              <w:t>Surplus</w:t>
            </w:r>
          </w:p>
        </w:tc>
        <w:tc>
          <w:tcPr>
            <w:tcW w:w="2268" w:type="dxa"/>
          </w:tcPr>
          <w:p w14:paraId="49900023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$2,151,975</w:t>
            </w:r>
          </w:p>
        </w:tc>
        <w:tc>
          <w:tcPr>
            <w:tcW w:w="3402" w:type="dxa"/>
          </w:tcPr>
          <w:p w14:paraId="49900024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50th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</w:tr>
      <w:tr w:rsidR="000436DE" w14:paraId="49900029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49900026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1st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2268" w:type="dxa"/>
            <w:shd w:val="clear" w:color="auto" w:fill="F7F9F9"/>
          </w:tcPr>
          <w:p w14:paraId="49900027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55,115</w:t>
            </w:r>
          </w:p>
        </w:tc>
        <w:tc>
          <w:tcPr>
            <w:tcW w:w="3402" w:type="dxa"/>
            <w:shd w:val="clear" w:color="auto" w:fill="F7F9F9"/>
          </w:tcPr>
          <w:p w14:paraId="49900028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Worst 1% of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</w:tr>
      <w:tr w:rsidR="000436DE" w14:paraId="4990002D" w14:textId="77777777">
        <w:trPr>
          <w:trHeight w:val="370"/>
        </w:trPr>
        <w:tc>
          <w:tcPr>
            <w:tcW w:w="3118" w:type="dxa"/>
          </w:tcPr>
          <w:p w14:paraId="4990002A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5th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2268" w:type="dxa"/>
          </w:tcPr>
          <w:p w14:paraId="4990002B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$508,449</w:t>
            </w:r>
          </w:p>
        </w:tc>
        <w:tc>
          <w:tcPr>
            <w:tcW w:w="3402" w:type="dxa"/>
          </w:tcPr>
          <w:p w14:paraId="4990002C" w14:textId="77777777" w:rsidR="000436DE" w:rsidRDefault="000436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0436DE" w14:paraId="49900031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4990002E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10th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2268" w:type="dxa"/>
            <w:shd w:val="clear" w:color="auto" w:fill="F7F9F9"/>
          </w:tcPr>
          <w:p w14:paraId="4990002F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$808,302</w:t>
            </w:r>
          </w:p>
        </w:tc>
        <w:tc>
          <w:tcPr>
            <w:tcW w:w="3402" w:type="dxa"/>
            <w:shd w:val="clear" w:color="auto" w:fill="F7F9F9"/>
          </w:tcPr>
          <w:p w14:paraId="49900030" w14:textId="77777777" w:rsidR="000436DE" w:rsidRDefault="000436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0436DE" w14:paraId="49900035" w14:textId="77777777">
        <w:trPr>
          <w:trHeight w:val="370"/>
        </w:trPr>
        <w:tc>
          <w:tcPr>
            <w:tcW w:w="3118" w:type="dxa"/>
          </w:tcPr>
          <w:p w14:paraId="49900032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25th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2268" w:type="dxa"/>
          </w:tcPr>
          <w:p w14:paraId="49900033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$1,361,489</w:t>
            </w:r>
          </w:p>
        </w:tc>
        <w:tc>
          <w:tcPr>
            <w:tcW w:w="3402" w:type="dxa"/>
          </w:tcPr>
          <w:p w14:paraId="49900034" w14:textId="77777777" w:rsidR="000436DE" w:rsidRDefault="000436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0436DE" w14:paraId="49900039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49900036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75th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2268" w:type="dxa"/>
            <w:shd w:val="clear" w:color="auto" w:fill="F7F9F9"/>
          </w:tcPr>
          <w:p w14:paraId="49900037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$3,194,847</w:t>
            </w:r>
          </w:p>
        </w:tc>
        <w:tc>
          <w:tcPr>
            <w:tcW w:w="3402" w:type="dxa"/>
            <w:shd w:val="clear" w:color="auto" w:fill="F7F9F9"/>
          </w:tcPr>
          <w:p w14:paraId="49900038" w14:textId="77777777" w:rsidR="000436DE" w:rsidRDefault="000436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0436DE" w14:paraId="4990003D" w14:textId="77777777">
        <w:trPr>
          <w:trHeight w:val="370"/>
        </w:trPr>
        <w:tc>
          <w:tcPr>
            <w:tcW w:w="3118" w:type="dxa"/>
          </w:tcPr>
          <w:p w14:paraId="4990003A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90th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2268" w:type="dxa"/>
          </w:tcPr>
          <w:p w14:paraId="4990003B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$4,419,493</w:t>
            </w:r>
          </w:p>
        </w:tc>
        <w:tc>
          <w:tcPr>
            <w:tcW w:w="3402" w:type="dxa"/>
          </w:tcPr>
          <w:p w14:paraId="4990003C" w14:textId="77777777" w:rsidR="000436DE" w:rsidRDefault="000436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0436DE" w14:paraId="49900041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4990003E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99th </w:t>
            </w:r>
            <w:r>
              <w:rPr>
                <w:color w:val="2B3D4F"/>
                <w:spacing w:val="-2"/>
                <w:sz w:val="18"/>
              </w:rPr>
              <w:t>Percentile</w:t>
            </w:r>
          </w:p>
        </w:tc>
        <w:tc>
          <w:tcPr>
            <w:tcW w:w="2268" w:type="dxa"/>
            <w:shd w:val="clear" w:color="auto" w:fill="F7F9F9"/>
          </w:tcPr>
          <w:p w14:paraId="4990003F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$7,476,780</w:t>
            </w:r>
          </w:p>
        </w:tc>
        <w:tc>
          <w:tcPr>
            <w:tcW w:w="3402" w:type="dxa"/>
            <w:shd w:val="clear" w:color="auto" w:fill="F7F9F9"/>
          </w:tcPr>
          <w:p w14:paraId="49900040" w14:textId="77777777" w:rsidR="000436DE" w:rsidRDefault="000436D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0436DE" w14:paraId="49900045" w14:textId="77777777">
        <w:trPr>
          <w:trHeight w:val="370"/>
        </w:trPr>
        <w:tc>
          <w:tcPr>
            <w:tcW w:w="3118" w:type="dxa"/>
          </w:tcPr>
          <w:p w14:paraId="49900042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Conditional Expected </w:t>
            </w:r>
            <w:r>
              <w:rPr>
                <w:color w:val="2B3D4F"/>
                <w:spacing w:val="-2"/>
                <w:sz w:val="18"/>
              </w:rPr>
              <w:t>Deficit</w:t>
            </w:r>
          </w:p>
        </w:tc>
        <w:tc>
          <w:tcPr>
            <w:tcW w:w="2268" w:type="dxa"/>
          </w:tcPr>
          <w:p w14:paraId="49900043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333,305</w:t>
            </w:r>
          </w:p>
        </w:tc>
        <w:tc>
          <w:tcPr>
            <w:tcW w:w="3402" w:type="dxa"/>
          </w:tcPr>
          <w:p w14:paraId="49900044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Mean loss given </w:t>
            </w:r>
            <w:r>
              <w:rPr>
                <w:color w:val="2B3D4F"/>
                <w:spacing w:val="-2"/>
                <w:sz w:val="18"/>
              </w:rPr>
              <w:t>deficit</w:t>
            </w:r>
          </w:p>
        </w:tc>
      </w:tr>
      <w:tr w:rsidR="000436DE" w14:paraId="49900049" w14:textId="77777777">
        <w:trPr>
          <w:trHeight w:val="590"/>
        </w:trPr>
        <w:tc>
          <w:tcPr>
            <w:tcW w:w="3118" w:type="dxa"/>
            <w:shd w:val="clear" w:color="auto" w:fill="F7F9F9"/>
          </w:tcPr>
          <w:p w14:paraId="49900046" w14:textId="77777777" w:rsidR="000436DE" w:rsidRDefault="00601773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Mean Holiday Years (of </w:t>
            </w:r>
            <w:r>
              <w:rPr>
                <w:color w:val="2B3D4F"/>
                <w:spacing w:val="-5"/>
                <w:sz w:val="18"/>
              </w:rPr>
              <w:t>30)</w:t>
            </w:r>
          </w:p>
        </w:tc>
        <w:tc>
          <w:tcPr>
            <w:tcW w:w="2268" w:type="dxa"/>
            <w:shd w:val="clear" w:color="auto" w:fill="F7F9F9"/>
          </w:tcPr>
          <w:p w14:paraId="49900047" w14:textId="77777777" w:rsidR="000436DE" w:rsidRDefault="00601773">
            <w:pPr>
              <w:pStyle w:val="TableParagraph"/>
              <w:spacing w:before="196"/>
              <w:ind w:left="10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4.5</w:t>
            </w:r>
          </w:p>
        </w:tc>
        <w:tc>
          <w:tcPr>
            <w:tcW w:w="3402" w:type="dxa"/>
            <w:shd w:val="clear" w:color="auto" w:fill="F7F9F9"/>
          </w:tcPr>
          <w:p w14:paraId="49900048" w14:textId="77777777" w:rsidR="000436DE" w:rsidRDefault="00601773">
            <w:pPr>
              <w:pStyle w:val="TableParagraph"/>
              <w:spacing w:line="254" w:lineRule="auto"/>
              <w:ind w:left="1070" w:hanging="68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Average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path: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0;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mean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across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all simulated paths</w:t>
            </w:r>
          </w:p>
        </w:tc>
      </w:tr>
      <w:tr w:rsidR="000436DE" w14:paraId="4990004D" w14:textId="77777777">
        <w:trPr>
          <w:trHeight w:val="370"/>
        </w:trPr>
        <w:tc>
          <w:tcPr>
            <w:tcW w:w="3118" w:type="dxa"/>
          </w:tcPr>
          <w:p w14:paraId="4990004A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LMI Fair Premium </w:t>
            </w:r>
            <w:r>
              <w:rPr>
                <w:color w:val="2B3D4F"/>
                <w:spacing w:val="-4"/>
                <w:sz w:val="18"/>
              </w:rPr>
              <w:t>(PV)</w:t>
            </w:r>
          </w:p>
        </w:tc>
        <w:tc>
          <w:tcPr>
            <w:tcW w:w="2268" w:type="dxa"/>
          </w:tcPr>
          <w:p w14:paraId="4990004B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$1,716</w:t>
            </w:r>
          </w:p>
        </w:tc>
        <w:tc>
          <w:tcPr>
            <w:tcW w:w="3402" w:type="dxa"/>
          </w:tcPr>
          <w:p w14:paraId="4990004C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Discounted at </w:t>
            </w:r>
            <w:r>
              <w:rPr>
                <w:color w:val="2B3D4F"/>
                <w:spacing w:val="-2"/>
                <w:sz w:val="18"/>
              </w:rPr>
              <w:t>2.13%</w:t>
            </w:r>
          </w:p>
        </w:tc>
      </w:tr>
      <w:tr w:rsidR="000436DE" w14:paraId="49900051" w14:textId="77777777">
        <w:trPr>
          <w:trHeight w:val="370"/>
        </w:trPr>
        <w:tc>
          <w:tcPr>
            <w:tcW w:w="3118" w:type="dxa"/>
            <w:shd w:val="clear" w:color="auto" w:fill="F7F9F9"/>
          </w:tcPr>
          <w:p w14:paraId="4990004E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Tail Risk </w:t>
            </w:r>
            <w:r>
              <w:rPr>
                <w:color w:val="2B3D4F"/>
                <w:spacing w:val="-5"/>
                <w:sz w:val="18"/>
              </w:rPr>
              <w:t>PoC</w:t>
            </w:r>
          </w:p>
        </w:tc>
        <w:tc>
          <w:tcPr>
            <w:tcW w:w="2268" w:type="dxa"/>
            <w:shd w:val="clear" w:color="auto" w:fill="F7F9F9"/>
          </w:tcPr>
          <w:p w14:paraId="4990004F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0.24%</w:t>
            </w:r>
          </w:p>
        </w:tc>
        <w:tc>
          <w:tcPr>
            <w:tcW w:w="3402" w:type="dxa"/>
            <w:shd w:val="clear" w:color="auto" w:fill="F7F9F9"/>
          </w:tcPr>
          <w:p w14:paraId="49900050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Beyond top cover </w:t>
            </w:r>
            <w:r>
              <w:rPr>
                <w:color w:val="2B3D4F"/>
                <w:spacing w:val="-2"/>
                <w:sz w:val="18"/>
              </w:rPr>
              <w:t>limit</w:t>
            </w:r>
          </w:p>
        </w:tc>
      </w:tr>
    </w:tbl>
    <w:p w14:paraId="49900052" w14:textId="77777777" w:rsidR="000436DE" w:rsidRDefault="000436DE">
      <w:pPr>
        <w:pStyle w:val="TableParagraph"/>
        <w:rPr>
          <w:sz w:val="18"/>
        </w:rPr>
        <w:sectPr w:rsidR="000436DE">
          <w:pgSz w:w="11910" w:h="16840"/>
          <w:pgMar w:top="1460" w:right="1275" w:bottom="820" w:left="1275" w:header="0" w:footer="625" w:gutter="0"/>
          <w:cols w:space="720"/>
        </w:sectPr>
      </w:pPr>
    </w:p>
    <w:p w14:paraId="49900053" w14:textId="77777777" w:rsidR="000436DE" w:rsidRDefault="00601773">
      <w:pPr>
        <w:pStyle w:val="Heading1"/>
        <w:jc w:val="both"/>
      </w:pPr>
      <w:r>
        <w:rPr>
          <w:color w:val="2B3D4F"/>
        </w:rPr>
        <w:lastRenderedPageBreak/>
        <w:t xml:space="preserve">Sensitivity Analysis — Equity Return vs </w:t>
      </w:r>
      <w:r>
        <w:rPr>
          <w:color w:val="2B3D4F"/>
          <w:spacing w:val="-2"/>
        </w:rPr>
        <w:t>Volatility</w:t>
      </w:r>
    </w:p>
    <w:p w14:paraId="49900054" w14:textId="77777777" w:rsidR="000436DE" w:rsidRDefault="00601773">
      <w:pPr>
        <w:pStyle w:val="BodyText"/>
        <w:spacing w:before="242" w:line="292" w:lineRule="auto"/>
        <w:ind w:left="262" w:right="259"/>
        <w:jc w:val="both"/>
      </w:pPr>
      <w:r>
        <w:rPr>
          <w:color w:val="2B3D4F"/>
        </w:rPr>
        <w:t xml:space="preserve">The sensitivity grid tests 40 combinations of equity return (7.0–11.0%) and volatility (12.0–25.0%). All other parameters held at base case values. Each cell shows PoD at year 30 from a 50,000-path </w:t>
      </w:r>
      <w:r>
        <w:rPr>
          <w:color w:val="2B3D4F"/>
          <w:spacing w:val="-2"/>
        </w:rPr>
        <w:t>simulation.</w:t>
      </w:r>
    </w:p>
    <w:p w14:paraId="49900055" w14:textId="77777777" w:rsidR="000436DE" w:rsidRDefault="00601773">
      <w:pPr>
        <w:pStyle w:val="BodyText"/>
        <w:spacing w:before="2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99001C4" wp14:editId="499001C5">
            <wp:simplePos x="0" y="0"/>
            <wp:positionH relativeFrom="page">
              <wp:posOffset>876000</wp:posOffset>
            </wp:positionH>
            <wp:positionV relativeFrom="paragraph">
              <wp:posOffset>162984</wp:posOffset>
            </wp:positionV>
            <wp:extent cx="5736813" cy="326478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813" cy="3264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00056" w14:textId="77777777" w:rsidR="000436DE" w:rsidRDefault="000436DE">
      <w:pPr>
        <w:pStyle w:val="BodyText"/>
      </w:pPr>
    </w:p>
    <w:p w14:paraId="49900057" w14:textId="77777777" w:rsidR="000436DE" w:rsidRDefault="000436DE">
      <w:pPr>
        <w:pStyle w:val="BodyText"/>
        <w:spacing w:before="155"/>
      </w:pPr>
    </w:p>
    <w:p w14:paraId="49900058" w14:textId="77777777" w:rsidR="000436DE" w:rsidRDefault="00601773">
      <w:pPr>
        <w:pStyle w:val="Heading2"/>
        <w:jc w:val="both"/>
      </w:pPr>
      <w:r>
        <w:rPr>
          <w:color w:val="3497A8"/>
        </w:rPr>
        <w:t xml:space="preserve">PoD (%) at Year 30 — Equity Return vs </w:t>
      </w:r>
      <w:r>
        <w:rPr>
          <w:color w:val="3497A8"/>
          <w:spacing w:val="-2"/>
        </w:rPr>
        <w:t>Volatility</w:t>
      </w:r>
    </w:p>
    <w:p w14:paraId="49900059" w14:textId="77777777" w:rsidR="000436DE" w:rsidRDefault="000436DE">
      <w:pPr>
        <w:pStyle w:val="BodyText"/>
        <w:spacing w:before="2"/>
        <w:rPr>
          <w:b/>
          <w:sz w:val="16"/>
        </w:rPr>
      </w:pPr>
    </w:p>
    <w:tbl>
      <w:tblPr>
        <w:tblW w:w="0" w:type="auto"/>
        <w:tblInd w:w="430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417"/>
        <w:gridCol w:w="1417"/>
        <w:gridCol w:w="1417"/>
        <w:gridCol w:w="1417"/>
        <w:gridCol w:w="1417"/>
      </w:tblGrid>
      <w:tr w:rsidR="000436DE" w14:paraId="49900060" w14:textId="77777777">
        <w:trPr>
          <w:trHeight w:val="370"/>
        </w:trPr>
        <w:tc>
          <w:tcPr>
            <w:tcW w:w="1417" w:type="dxa"/>
            <w:shd w:val="clear" w:color="auto" w:fill="2B3D4F"/>
          </w:tcPr>
          <w:p w14:paraId="4990005A" w14:textId="77777777" w:rsidR="000436DE" w:rsidRDefault="00601773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Return \ </w:t>
            </w:r>
            <w:r>
              <w:rPr>
                <w:b/>
                <w:color w:val="FFFFFF"/>
                <w:spacing w:val="-5"/>
                <w:sz w:val="18"/>
              </w:rPr>
              <w:t>Vol</w:t>
            </w:r>
          </w:p>
        </w:tc>
        <w:tc>
          <w:tcPr>
            <w:tcW w:w="1417" w:type="dxa"/>
            <w:shd w:val="clear" w:color="auto" w:fill="2B3D4F"/>
          </w:tcPr>
          <w:p w14:paraId="4990005B" w14:textId="77777777" w:rsidR="000436DE" w:rsidRDefault="00601773">
            <w:pPr>
              <w:pStyle w:val="TableParagraph"/>
              <w:ind w:left="13" w:right="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12.0%</w:t>
            </w:r>
          </w:p>
        </w:tc>
        <w:tc>
          <w:tcPr>
            <w:tcW w:w="1417" w:type="dxa"/>
            <w:shd w:val="clear" w:color="auto" w:fill="2B3D4F"/>
          </w:tcPr>
          <w:p w14:paraId="4990005C" w14:textId="77777777" w:rsidR="000436DE" w:rsidRDefault="00601773">
            <w:pPr>
              <w:pStyle w:val="TableParagraph"/>
              <w:ind w:left="13" w:right="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15.0%</w:t>
            </w:r>
          </w:p>
        </w:tc>
        <w:tc>
          <w:tcPr>
            <w:tcW w:w="1417" w:type="dxa"/>
            <w:shd w:val="clear" w:color="auto" w:fill="2B3D4F"/>
          </w:tcPr>
          <w:p w14:paraId="4990005D" w14:textId="77777777" w:rsidR="000436DE" w:rsidRDefault="00601773">
            <w:pPr>
              <w:pStyle w:val="TableParagraph"/>
              <w:ind w:left="13" w:right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16.6%</w:t>
            </w:r>
          </w:p>
        </w:tc>
        <w:tc>
          <w:tcPr>
            <w:tcW w:w="1417" w:type="dxa"/>
            <w:shd w:val="clear" w:color="auto" w:fill="2B3D4F"/>
          </w:tcPr>
          <w:p w14:paraId="4990005E" w14:textId="77777777" w:rsidR="000436DE" w:rsidRDefault="00601773">
            <w:pPr>
              <w:pStyle w:val="TableParagraph"/>
              <w:ind w:left="13" w:right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20.0%</w:t>
            </w:r>
          </w:p>
        </w:tc>
        <w:tc>
          <w:tcPr>
            <w:tcW w:w="1417" w:type="dxa"/>
            <w:shd w:val="clear" w:color="auto" w:fill="2B3D4F"/>
          </w:tcPr>
          <w:p w14:paraId="4990005F" w14:textId="77777777" w:rsidR="000436DE" w:rsidRDefault="00601773">
            <w:pPr>
              <w:pStyle w:val="TableParagraph"/>
              <w:ind w:left="1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25.0%</w:t>
            </w:r>
          </w:p>
        </w:tc>
      </w:tr>
      <w:tr w:rsidR="000436DE" w14:paraId="49900067" w14:textId="77777777">
        <w:trPr>
          <w:trHeight w:val="370"/>
        </w:trPr>
        <w:tc>
          <w:tcPr>
            <w:tcW w:w="1417" w:type="dxa"/>
          </w:tcPr>
          <w:p w14:paraId="49900061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7.0%</w:t>
            </w:r>
          </w:p>
        </w:tc>
        <w:tc>
          <w:tcPr>
            <w:tcW w:w="1417" w:type="dxa"/>
          </w:tcPr>
          <w:p w14:paraId="49900062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37.0</w:t>
            </w:r>
          </w:p>
        </w:tc>
        <w:tc>
          <w:tcPr>
            <w:tcW w:w="1417" w:type="dxa"/>
          </w:tcPr>
          <w:p w14:paraId="49900063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32.4</w:t>
            </w:r>
          </w:p>
        </w:tc>
        <w:tc>
          <w:tcPr>
            <w:tcW w:w="1417" w:type="dxa"/>
          </w:tcPr>
          <w:p w14:paraId="49900064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30.4</w:t>
            </w:r>
          </w:p>
        </w:tc>
        <w:tc>
          <w:tcPr>
            <w:tcW w:w="1417" w:type="dxa"/>
          </w:tcPr>
          <w:p w14:paraId="49900065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26.5</w:t>
            </w:r>
          </w:p>
        </w:tc>
        <w:tc>
          <w:tcPr>
            <w:tcW w:w="1417" w:type="dxa"/>
          </w:tcPr>
          <w:p w14:paraId="49900066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21.5</w:t>
            </w:r>
          </w:p>
        </w:tc>
      </w:tr>
      <w:tr w:rsidR="000436DE" w14:paraId="4990006E" w14:textId="77777777">
        <w:trPr>
          <w:trHeight w:val="370"/>
        </w:trPr>
        <w:tc>
          <w:tcPr>
            <w:tcW w:w="1417" w:type="dxa"/>
            <w:shd w:val="clear" w:color="auto" w:fill="F7F9F9"/>
          </w:tcPr>
          <w:p w14:paraId="49900068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7.5%</w:t>
            </w:r>
          </w:p>
        </w:tc>
        <w:tc>
          <w:tcPr>
            <w:tcW w:w="1417" w:type="dxa"/>
            <w:shd w:val="clear" w:color="auto" w:fill="F7F9F9"/>
          </w:tcPr>
          <w:p w14:paraId="49900069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20.3</w:t>
            </w:r>
          </w:p>
        </w:tc>
        <w:tc>
          <w:tcPr>
            <w:tcW w:w="1417" w:type="dxa"/>
            <w:shd w:val="clear" w:color="auto" w:fill="F7F9F9"/>
          </w:tcPr>
          <w:p w14:paraId="4990006A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19.0</w:t>
            </w:r>
          </w:p>
        </w:tc>
        <w:tc>
          <w:tcPr>
            <w:tcW w:w="1417" w:type="dxa"/>
            <w:shd w:val="clear" w:color="auto" w:fill="F7F9F9"/>
          </w:tcPr>
          <w:p w14:paraId="4990006B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18.4</w:t>
            </w:r>
          </w:p>
        </w:tc>
        <w:tc>
          <w:tcPr>
            <w:tcW w:w="1417" w:type="dxa"/>
            <w:shd w:val="clear" w:color="auto" w:fill="F7F9F9"/>
          </w:tcPr>
          <w:p w14:paraId="4990006C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17.3</w:t>
            </w:r>
          </w:p>
        </w:tc>
        <w:tc>
          <w:tcPr>
            <w:tcW w:w="1417" w:type="dxa"/>
            <w:shd w:val="clear" w:color="auto" w:fill="F7F9F9"/>
          </w:tcPr>
          <w:p w14:paraId="4990006D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15.7</w:t>
            </w:r>
          </w:p>
        </w:tc>
      </w:tr>
      <w:tr w:rsidR="000436DE" w14:paraId="49900075" w14:textId="77777777">
        <w:trPr>
          <w:trHeight w:val="370"/>
        </w:trPr>
        <w:tc>
          <w:tcPr>
            <w:tcW w:w="1417" w:type="dxa"/>
          </w:tcPr>
          <w:p w14:paraId="4990006F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8.0%</w:t>
            </w:r>
          </w:p>
        </w:tc>
        <w:tc>
          <w:tcPr>
            <w:tcW w:w="1417" w:type="dxa"/>
          </w:tcPr>
          <w:p w14:paraId="49900070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9.2</w:t>
            </w:r>
          </w:p>
        </w:tc>
        <w:tc>
          <w:tcPr>
            <w:tcW w:w="1417" w:type="dxa"/>
          </w:tcPr>
          <w:p w14:paraId="49900071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9.4</w:t>
            </w:r>
          </w:p>
        </w:tc>
        <w:tc>
          <w:tcPr>
            <w:tcW w:w="1417" w:type="dxa"/>
          </w:tcPr>
          <w:p w14:paraId="49900072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9.7</w:t>
            </w:r>
          </w:p>
        </w:tc>
        <w:tc>
          <w:tcPr>
            <w:tcW w:w="1417" w:type="dxa"/>
          </w:tcPr>
          <w:p w14:paraId="49900073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10.2</w:t>
            </w:r>
          </w:p>
        </w:tc>
        <w:tc>
          <w:tcPr>
            <w:tcW w:w="1417" w:type="dxa"/>
          </w:tcPr>
          <w:p w14:paraId="49900074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10.7</w:t>
            </w:r>
          </w:p>
        </w:tc>
      </w:tr>
      <w:tr w:rsidR="000436DE" w14:paraId="4990007C" w14:textId="77777777">
        <w:trPr>
          <w:trHeight w:val="370"/>
        </w:trPr>
        <w:tc>
          <w:tcPr>
            <w:tcW w:w="1417" w:type="dxa"/>
            <w:shd w:val="clear" w:color="auto" w:fill="F7F9F9"/>
          </w:tcPr>
          <w:p w14:paraId="49900076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8.5%</w:t>
            </w:r>
          </w:p>
        </w:tc>
        <w:tc>
          <w:tcPr>
            <w:tcW w:w="1417" w:type="dxa"/>
            <w:shd w:val="clear" w:color="auto" w:fill="F7F9F9"/>
          </w:tcPr>
          <w:p w14:paraId="49900077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3.3</w:t>
            </w:r>
          </w:p>
        </w:tc>
        <w:tc>
          <w:tcPr>
            <w:tcW w:w="1417" w:type="dxa"/>
            <w:shd w:val="clear" w:color="auto" w:fill="F7F9F9"/>
          </w:tcPr>
          <w:p w14:paraId="49900078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4.0</w:t>
            </w:r>
          </w:p>
        </w:tc>
        <w:tc>
          <w:tcPr>
            <w:tcW w:w="1417" w:type="dxa"/>
            <w:shd w:val="clear" w:color="auto" w:fill="F7F9F9"/>
          </w:tcPr>
          <w:p w14:paraId="49900079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4.4</w:t>
            </w:r>
          </w:p>
        </w:tc>
        <w:tc>
          <w:tcPr>
            <w:tcW w:w="1417" w:type="dxa"/>
            <w:shd w:val="clear" w:color="auto" w:fill="F7F9F9"/>
          </w:tcPr>
          <w:p w14:paraId="4990007A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5.6</w:t>
            </w:r>
          </w:p>
        </w:tc>
        <w:tc>
          <w:tcPr>
            <w:tcW w:w="1417" w:type="dxa"/>
            <w:shd w:val="clear" w:color="auto" w:fill="F7F9F9"/>
          </w:tcPr>
          <w:p w14:paraId="4990007B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7.1</w:t>
            </w:r>
          </w:p>
        </w:tc>
      </w:tr>
      <w:tr w:rsidR="000436DE" w14:paraId="49900083" w14:textId="77777777">
        <w:trPr>
          <w:trHeight w:val="370"/>
        </w:trPr>
        <w:tc>
          <w:tcPr>
            <w:tcW w:w="1417" w:type="dxa"/>
          </w:tcPr>
          <w:p w14:paraId="4990007D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9.0%</w:t>
            </w:r>
          </w:p>
        </w:tc>
        <w:tc>
          <w:tcPr>
            <w:tcW w:w="1417" w:type="dxa"/>
          </w:tcPr>
          <w:p w14:paraId="4990007E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1.0</w:t>
            </w:r>
          </w:p>
        </w:tc>
        <w:tc>
          <w:tcPr>
            <w:tcW w:w="1417" w:type="dxa"/>
          </w:tcPr>
          <w:p w14:paraId="4990007F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1.5</w:t>
            </w:r>
          </w:p>
        </w:tc>
        <w:tc>
          <w:tcPr>
            <w:tcW w:w="1417" w:type="dxa"/>
          </w:tcPr>
          <w:p w14:paraId="49900080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1.8</w:t>
            </w:r>
          </w:p>
        </w:tc>
        <w:tc>
          <w:tcPr>
            <w:tcW w:w="1417" w:type="dxa"/>
          </w:tcPr>
          <w:p w14:paraId="49900081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2.8</w:t>
            </w:r>
          </w:p>
        </w:tc>
        <w:tc>
          <w:tcPr>
            <w:tcW w:w="1417" w:type="dxa"/>
          </w:tcPr>
          <w:p w14:paraId="49900082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4.3</w:t>
            </w:r>
          </w:p>
        </w:tc>
      </w:tr>
      <w:tr w:rsidR="000436DE" w14:paraId="4990008A" w14:textId="77777777">
        <w:trPr>
          <w:trHeight w:val="370"/>
        </w:trPr>
        <w:tc>
          <w:tcPr>
            <w:tcW w:w="1417" w:type="dxa"/>
            <w:shd w:val="clear" w:color="auto" w:fill="F7F9F9"/>
          </w:tcPr>
          <w:p w14:paraId="49900084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9.2%</w:t>
            </w:r>
          </w:p>
        </w:tc>
        <w:tc>
          <w:tcPr>
            <w:tcW w:w="1417" w:type="dxa"/>
            <w:shd w:val="clear" w:color="auto" w:fill="F7F9F9"/>
          </w:tcPr>
          <w:p w14:paraId="49900085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0.6</w:t>
            </w:r>
          </w:p>
        </w:tc>
        <w:tc>
          <w:tcPr>
            <w:tcW w:w="1417" w:type="dxa"/>
            <w:shd w:val="clear" w:color="auto" w:fill="F7F9F9"/>
          </w:tcPr>
          <w:p w14:paraId="49900086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0.9</w:t>
            </w:r>
          </w:p>
        </w:tc>
        <w:tc>
          <w:tcPr>
            <w:tcW w:w="1417" w:type="dxa"/>
            <w:shd w:val="clear" w:color="auto" w:fill="F7F9F9"/>
          </w:tcPr>
          <w:p w14:paraId="49900087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1.2</w:t>
            </w:r>
          </w:p>
        </w:tc>
        <w:tc>
          <w:tcPr>
            <w:tcW w:w="1417" w:type="dxa"/>
            <w:shd w:val="clear" w:color="auto" w:fill="F7F9F9"/>
          </w:tcPr>
          <w:p w14:paraId="49900088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2.1</w:t>
            </w:r>
          </w:p>
        </w:tc>
        <w:tc>
          <w:tcPr>
            <w:tcW w:w="1417" w:type="dxa"/>
            <w:shd w:val="clear" w:color="auto" w:fill="F7F9F9"/>
          </w:tcPr>
          <w:p w14:paraId="49900089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3.5</w:t>
            </w:r>
          </w:p>
        </w:tc>
      </w:tr>
      <w:tr w:rsidR="000436DE" w14:paraId="49900091" w14:textId="77777777">
        <w:trPr>
          <w:trHeight w:val="370"/>
        </w:trPr>
        <w:tc>
          <w:tcPr>
            <w:tcW w:w="1417" w:type="dxa"/>
          </w:tcPr>
          <w:p w14:paraId="4990008B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10.0%</w:t>
            </w:r>
          </w:p>
        </w:tc>
        <w:tc>
          <w:tcPr>
            <w:tcW w:w="1417" w:type="dxa"/>
          </w:tcPr>
          <w:p w14:paraId="4990008C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0.0</w:t>
            </w:r>
          </w:p>
        </w:tc>
        <w:tc>
          <w:tcPr>
            <w:tcW w:w="1417" w:type="dxa"/>
          </w:tcPr>
          <w:p w14:paraId="4990008D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0.1</w:t>
            </w:r>
          </w:p>
        </w:tc>
        <w:tc>
          <w:tcPr>
            <w:tcW w:w="1417" w:type="dxa"/>
          </w:tcPr>
          <w:p w14:paraId="4990008E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0.2</w:t>
            </w:r>
          </w:p>
        </w:tc>
        <w:tc>
          <w:tcPr>
            <w:tcW w:w="1417" w:type="dxa"/>
          </w:tcPr>
          <w:p w14:paraId="4990008F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0.6</w:t>
            </w:r>
          </w:p>
        </w:tc>
        <w:tc>
          <w:tcPr>
            <w:tcW w:w="1417" w:type="dxa"/>
          </w:tcPr>
          <w:p w14:paraId="49900090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1.4</w:t>
            </w:r>
          </w:p>
        </w:tc>
      </w:tr>
      <w:tr w:rsidR="000436DE" w14:paraId="49900098" w14:textId="77777777">
        <w:trPr>
          <w:trHeight w:val="370"/>
        </w:trPr>
        <w:tc>
          <w:tcPr>
            <w:tcW w:w="1417" w:type="dxa"/>
            <w:shd w:val="clear" w:color="auto" w:fill="F7F9F9"/>
          </w:tcPr>
          <w:p w14:paraId="49900092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11.0%</w:t>
            </w:r>
          </w:p>
        </w:tc>
        <w:tc>
          <w:tcPr>
            <w:tcW w:w="1417" w:type="dxa"/>
            <w:shd w:val="clear" w:color="auto" w:fill="F7F9F9"/>
          </w:tcPr>
          <w:p w14:paraId="49900093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0.0</w:t>
            </w:r>
          </w:p>
        </w:tc>
        <w:tc>
          <w:tcPr>
            <w:tcW w:w="1417" w:type="dxa"/>
            <w:shd w:val="clear" w:color="auto" w:fill="F7F9F9"/>
          </w:tcPr>
          <w:p w14:paraId="49900094" w14:textId="77777777" w:rsidR="000436DE" w:rsidRDefault="00601773">
            <w:pPr>
              <w:pStyle w:val="TableParagraph"/>
              <w:ind w:left="13" w:right="2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0.0</w:t>
            </w:r>
          </w:p>
        </w:tc>
        <w:tc>
          <w:tcPr>
            <w:tcW w:w="1417" w:type="dxa"/>
            <w:shd w:val="clear" w:color="auto" w:fill="F7F9F9"/>
          </w:tcPr>
          <w:p w14:paraId="49900095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0.0</w:t>
            </w:r>
          </w:p>
        </w:tc>
        <w:tc>
          <w:tcPr>
            <w:tcW w:w="1417" w:type="dxa"/>
            <w:shd w:val="clear" w:color="auto" w:fill="F7F9F9"/>
          </w:tcPr>
          <w:p w14:paraId="49900096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0.1</w:t>
            </w:r>
          </w:p>
        </w:tc>
        <w:tc>
          <w:tcPr>
            <w:tcW w:w="1417" w:type="dxa"/>
            <w:shd w:val="clear" w:color="auto" w:fill="F7F9F9"/>
          </w:tcPr>
          <w:p w14:paraId="49900097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0.4</w:t>
            </w:r>
          </w:p>
        </w:tc>
      </w:tr>
    </w:tbl>
    <w:p w14:paraId="49900099" w14:textId="77777777" w:rsidR="000436DE" w:rsidRDefault="00601773">
      <w:pPr>
        <w:pStyle w:val="Heading3"/>
        <w:jc w:val="both"/>
      </w:pPr>
      <w:r>
        <w:rPr>
          <w:color w:val="2B3D4F"/>
        </w:rPr>
        <w:t xml:space="preserve">Key </w:t>
      </w:r>
      <w:r>
        <w:rPr>
          <w:color w:val="2B3D4F"/>
          <w:spacing w:val="-2"/>
        </w:rPr>
        <w:t>observations:</w:t>
      </w:r>
    </w:p>
    <w:p w14:paraId="4990009A" w14:textId="77777777" w:rsidR="000436DE" w:rsidRDefault="00601773">
      <w:pPr>
        <w:pStyle w:val="BodyText"/>
        <w:spacing w:before="220" w:line="292" w:lineRule="auto"/>
        <w:ind w:left="262" w:right="259"/>
        <w:jc w:val="both"/>
      </w:pPr>
      <w:r>
        <w:rPr>
          <w:color w:val="2B3D4F"/>
        </w:rPr>
        <w:t>Every 1pp of equity return is worth roughly 3–5pp of PoD. Every 5pp of volatility adds 5–10pp. The base case (9.2% / 16.6%) sits comfortably at 1.2%. The mean-reverting model is central — it reduces long-term tail risk by pulling returns back toward trend after deviations.</w:t>
      </w:r>
    </w:p>
    <w:p w14:paraId="4990009B" w14:textId="77777777" w:rsidR="000436DE" w:rsidRDefault="000436DE">
      <w:pPr>
        <w:pStyle w:val="BodyText"/>
        <w:spacing w:line="292" w:lineRule="auto"/>
        <w:jc w:val="both"/>
        <w:sectPr w:rsidR="000436DE">
          <w:pgSz w:w="11910" w:h="16840"/>
          <w:pgMar w:top="1480" w:right="1275" w:bottom="820" w:left="1275" w:header="0" w:footer="625" w:gutter="0"/>
          <w:cols w:space="720"/>
        </w:sectPr>
      </w:pPr>
    </w:p>
    <w:p w14:paraId="4990009C" w14:textId="77777777" w:rsidR="000436DE" w:rsidRDefault="00601773">
      <w:pPr>
        <w:pStyle w:val="Heading1"/>
        <w:jc w:val="both"/>
      </w:pPr>
      <w:r>
        <w:rPr>
          <w:color w:val="2B3D4F"/>
        </w:rPr>
        <w:lastRenderedPageBreak/>
        <w:t xml:space="preserve">Correlation Stress </w:t>
      </w:r>
      <w:r>
        <w:rPr>
          <w:color w:val="2B3D4F"/>
          <w:spacing w:val="-4"/>
        </w:rPr>
        <w:t>Test</w:t>
      </w:r>
    </w:p>
    <w:p w14:paraId="4990009D" w14:textId="77777777" w:rsidR="000436DE" w:rsidRDefault="00601773">
      <w:pPr>
        <w:pStyle w:val="BodyText"/>
        <w:spacing w:before="84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499001C6" wp14:editId="499001C7">
            <wp:simplePos x="0" y="0"/>
            <wp:positionH relativeFrom="page">
              <wp:posOffset>982129</wp:posOffset>
            </wp:positionH>
            <wp:positionV relativeFrom="paragraph">
              <wp:posOffset>214906</wp:posOffset>
            </wp:positionV>
            <wp:extent cx="5595989" cy="25603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989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0009E" w14:textId="77777777" w:rsidR="000436DE" w:rsidRDefault="000436DE">
      <w:pPr>
        <w:pStyle w:val="BodyText"/>
        <w:spacing w:before="3"/>
        <w:rPr>
          <w:b/>
          <w:sz w:val="9"/>
        </w:rPr>
      </w:pPr>
    </w:p>
    <w:tbl>
      <w:tblPr>
        <w:tblW w:w="0" w:type="auto"/>
        <w:tblInd w:w="714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417"/>
        <w:gridCol w:w="2267"/>
        <w:gridCol w:w="2267"/>
      </w:tblGrid>
      <w:tr w:rsidR="000436DE" w14:paraId="499000A3" w14:textId="77777777">
        <w:trPr>
          <w:trHeight w:val="370"/>
        </w:trPr>
        <w:tc>
          <w:tcPr>
            <w:tcW w:w="1984" w:type="dxa"/>
            <w:shd w:val="clear" w:color="auto" w:fill="2B3D4F"/>
          </w:tcPr>
          <w:p w14:paraId="4990009F" w14:textId="77777777" w:rsidR="000436DE" w:rsidRDefault="00601773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Correlation</w:t>
            </w:r>
          </w:p>
        </w:tc>
        <w:tc>
          <w:tcPr>
            <w:tcW w:w="1417" w:type="dxa"/>
            <w:shd w:val="clear" w:color="auto" w:fill="2B3D4F"/>
          </w:tcPr>
          <w:p w14:paraId="499000A0" w14:textId="77777777" w:rsidR="000436DE" w:rsidRDefault="00601773">
            <w:pPr>
              <w:pStyle w:val="TableParagraph"/>
              <w:ind w:left="13" w:right="3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PoD</w:t>
            </w:r>
          </w:p>
        </w:tc>
        <w:tc>
          <w:tcPr>
            <w:tcW w:w="2267" w:type="dxa"/>
            <w:shd w:val="clear" w:color="auto" w:fill="2B3D4F"/>
          </w:tcPr>
          <w:p w14:paraId="499000A1" w14:textId="77777777" w:rsidR="000436DE" w:rsidRDefault="00601773">
            <w:pPr>
              <w:pStyle w:val="TableParagraph"/>
              <w:ind w:left="13" w:right="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Mean </w:t>
            </w:r>
            <w:r>
              <w:rPr>
                <w:b/>
                <w:color w:val="FFFFFF"/>
                <w:spacing w:val="-2"/>
                <w:sz w:val="18"/>
              </w:rPr>
              <w:t>Surplus</w:t>
            </w:r>
          </w:p>
        </w:tc>
        <w:tc>
          <w:tcPr>
            <w:tcW w:w="2267" w:type="dxa"/>
            <w:shd w:val="clear" w:color="auto" w:fill="2B3D4F"/>
          </w:tcPr>
          <w:p w14:paraId="499000A2" w14:textId="77777777" w:rsidR="000436DE" w:rsidRDefault="00601773">
            <w:pPr>
              <w:pStyle w:val="TableParagraph"/>
              <w:ind w:left="1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Cond. </w:t>
            </w:r>
            <w:r>
              <w:rPr>
                <w:b/>
                <w:color w:val="FFFFFF"/>
                <w:spacing w:val="-2"/>
                <w:sz w:val="18"/>
              </w:rPr>
              <w:t>Deficit</w:t>
            </w:r>
          </w:p>
        </w:tc>
      </w:tr>
      <w:tr w:rsidR="000436DE" w14:paraId="499000A8" w14:textId="77777777">
        <w:trPr>
          <w:trHeight w:val="370"/>
        </w:trPr>
        <w:tc>
          <w:tcPr>
            <w:tcW w:w="1984" w:type="dxa"/>
          </w:tcPr>
          <w:p w14:paraId="499000A4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-</w:t>
            </w:r>
            <w:r>
              <w:rPr>
                <w:color w:val="2B3D4F"/>
                <w:spacing w:val="-4"/>
                <w:sz w:val="18"/>
              </w:rPr>
              <w:t>0.30</w:t>
            </w:r>
          </w:p>
        </w:tc>
        <w:tc>
          <w:tcPr>
            <w:tcW w:w="1417" w:type="dxa"/>
          </w:tcPr>
          <w:p w14:paraId="499000A5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2.4%</w:t>
            </w:r>
          </w:p>
        </w:tc>
        <w:tc>
          <w:tcPr>
            <w:tcW w:w="2267" w:type="dxa"/>
          </w:tcPr>
          <w:p w14:paraId="499000A6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$2,419,794</w:t>
            </w:r>
          </w:p>
        </w:tc>
        <w:tc>
          <w:tcPr>
            <w:tcW w:w="2267" w:type="dxa"/>
          </w:tcPr>
          <w:p w14:paraId="499000A7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456,206</w:t>
            </w:r>
          </w:p>
        </w:tc>
      </w:tr>
      <w:tr w:rsidR="000436DE" w14:paraId="499000AD" w14:textId="77777777">
        <w:trPr>
          <w:trHeight w:val="370"/>
        </w:trPr>
        <w:tc>
          <w:tcPr>
            <w:tcW w:w="1984" w:type="dxa"/>
            <w:shd w:val="clear" w:color="auto" w:fill="F7F9F9"/>
          </w:tcPr>
          <w:p w14:paraId="499000A9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-</w:t>
            </w:r>
            <w:r>
              <w:rPr>
                <w:color w:val="2B3D4F"/>
                <w:spacing w:val="-4"/>
                <w:sz w:val="18"/>
              </w:rPr>
              <w:t>0.15</w:t>
            </w:r>
          </w:p>
        </w:tc>
        <w:tc>
          <w:tcPr>
            <w:tcW w:w="1417" w:type="dxa"/>
            <w:shd w:val="clear" w:color="auto" w:fill="F7F9F9"/>
          </w:tcPr>
          <w:p w14:paraId="499000AA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2.1%</w:t>
            </w:r>
          </w:p>
        </w:tc>
        <w:tc>
          <w:tcPr>
            <w:tcW w:w="2267" w:type="dxa"/>
            <w:shd w:val="clear" w:color="auto" w:fill="F7F9F9"/>
          </w:tcPr>
          <w:p w14:paraId="499000AB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$2,423,903</w:t>
            </w:r>
          </w:p>
        </w:tc>
        <w:tc>
          <w:tcPr>
            <w:tcW w:w="2267" w:type="dxa"/>
            <w:shd w:val="clear" w:color="auto" w:fill="F7F9F9"/>
          </w:tcPr>
          <w:p w14:paraId="499000AC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427,214</w:t>
            </w:r>
          </w:p>
        </w:tc>
      </w:tr>
      <w:tr w:rsidR="000436DE" w14:paraId="499000B2" w14:textId="77777777">
        <w:trPr>
          <w:trHeight w:val="370"/>
        </w:trPr>
        <w:tc>
          <w:tcPr>
            <w:tcW w:w="1984" w:type="dxa"/>
          </w:tcPr>
          <w:p w14:paraId="499000AE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0.00</w:t>
            </w:r>
          </w:p>
        </w:tc>
        <w:tc>
          <w:tcPr>
            <w:tcW w:w="1417" w:type="dxa"/>
          </w:tcPr>
          <w:p w14:paraId="499000AF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1.9%</w:t>
            </w:r>
          </w:p>
        </w:tc>
        <w:tc>
          <w:tcPr>
            <w:tcW w:w="2267" w:type="dxa"/>
          </w:tcPr>
          <w:p w14:paraId="499000B0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$2,427,041</w:t>
            </w:r>
          </w:p>
        </w:tc>
        <w:tc>
          <w:tcPr>
            <w:tcW w:w="2267" w:type="dxa"/>
          </w:tcPr>
          <w:p w14:paraId="499000B1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390,684</w:t>
            </w:r>
          </w:p>
        </w:tc>
      </w:tr>
      <w:tr w:rsidR="000436DE" w14:paraId="499000B7" w14:textId="77777777">
        <w:trPr>
          <w:trHeight w:val="370"/>
        </w:trPr>
        <w:tc>
          <w:tcPr>
            <w:tcW w:w="1984" w:type="dxa"/>
            <w:shd w:val="clear" w:color="auto" w:fill="F7F9F9"/>
          </w:tcPr>
          <w:p w14:paraId="499000B3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0.15</w:t>
            </w:r>
          </w:p>
        </w:tc>
        <w:tc>
          <w:tcPr>
            <w:tcW w:w="1417" w:type="dxa"/>
            <w:shd w:val="clear" w:color="auto" w:fill="F7F9F9"/>
          </w:tcPr>
          <w:p w14:paraId="499000B4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1.5%</w:t>
            </w:r>
          </w:p>
        </w:tc>
        <w:tc>
          <w:tcPr>
            <w:tcW w:w="2267" w:type="dxa"/>
            <w:shd w:val="clear" w:color="auto" w:fill="F7F9F9"/>
          </w:tcPr>
          <w:p w14:paraId="499000B5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$2,431,662</w:t>
            </w:r>
          </w:p>
        </w:tc>
        <w:tc>
          <w:tcPr>
            <w:tcW w:w="2267" w:type="dxa"/>
            <w:shd w:val="clear" w:color="auto" w:fill="F7F9F9"/>
          </w:tcPr>
          <w:p w14:paraId="499000B6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357,464</w:t>
            </w:r>
          </w:p>
        </w:tc>
      </w:tr>
      <w:tr w:rsidR="000436DE" w14:paraId="499000BC" w14:textId="77777777">
        <w:trPr>
          <w:trHeight w:val="370"/>
        </w:trPr>
        <w:tc>
          <w:tcPr>
            <w:tcW w:w="1984" w:type="dxa"/>
          </w:tcPr>
          <w:p w14:paraId="499000B8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0.30 </w:t>
            </w:r>
            <w:r>
              <w:rPr>
                <w:color w:val="2B3D4F"/>
                <w:spacing w:val="-2"/>
                <w:sz w:val="18"/>
              </w:rPr>
              <w:t>(base)</w:t>
            </w:r>
          </w:p>
        </w:tc>
        <w:tc>
          <w:tcPr>
            <w:tcW w:w="1417" w:type="dxa"/>
          </w:tcPr>
          <w:p w14:paraId="499000B9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1.2%</w:t>
            </w:r>
          </w:p>
        </w:tc>
        <w:tc>
          <w:tcPr>
            <w:tcW w:w="2267" w:type="dxa"/>
          </w:tcPr>
          <w:p w14:paraId="499000BA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$2,435,992</w:t>
            </w:r>
          </w:p>
        </w:tc>
        <w:tc>
          <w:tcPr>
            <w:tcW w:w="2267" w:type="dxa"/>
          </w:tcPr>
          <w:p w14:paraId="499000BB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333,305</w:t>
            </w:r>
          </w:p>
        </w:tc>
      </w:tr>
      <w:tr w:rsidR="000436DE" w14:paraId="499000C1" w14:textId="77777777">
        <w:trPr>
          <w:trHeight w:val="370"/>
        </w:trPr>
        <w:tc>
          <w:tcPr>
            <w:tcW w:w="1984" w:type="dxa"/>
            <w:shd w:val="clear" w:color="auto" w:fill="F7F9F9"/>
          </w:tcPr>
          <w:p w14:paraId="499000BD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0.45</w:t>
            </w:r>
          </w:p>
        </w:tc>
        <w:tc>
          <w:tcPr>
            <w:tcW w:w="1417" w:type="dxa"/>
            <w:shd w:val="clear" w:color="auto" w:fill="F7F9F9"/>
          </w:tcPr>
          <w:p w14:paraId="499000BE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0.9%</w:t>
            </w:r>
          </w:p>
        </w:tc>
        <w:tc>
          <w:tcPr>
            <w:tcW w:w="2267" w:type="dxa"/>
            <w:shd w:val="clear" w:color="auto" w:fill="F7F9F9"/>
          </w:tcPr>
          <w:p w14:paraId="499000BF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$2,440,356</w:t>
            </w:r>
          </w:p>
        </w:tc>
        <w:tc>
          <w:tcPr>
            <w:tcW w:w="2267" w:type="dxa"/>
            <w:shd w:val="clear" w:color="auto" w:fill="F7F9F9"/>
          </w:tcPr>
          <w:p w14:paraId="499000C0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310,871</w:t>
            </w:r>
          </w:p>
        </w:tc>
      </w:tr>
      <w:tr w:rsidR="000436DE" w14:paraId="499000C6" w14:textId="77777777">
        <w:trPr>
          <w:trHeight w:val="370"/>
        </w:trPr>
        <w:tc>
          <w:tcPr>
            <w:tcW w:w="1984" w:type="dxa"/>
          </w:tcPr>
          <w:p w14:paraId="499000C2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0.60</w:t>
            </w:r>
          </w:p>
        </w:tc>
        <w:tc>
          <w:tcPr>
            <w:tcW w:w="1417" w:type="dxa"/>
          </w:tcPr>
          <w:p w14:paraId="499000C3" w14:textId="77777777" w:rsidR="000436DE" w:rsidRDefault="00601773">
            <w:pPr>
              <w:pStyle w:val="TableParagraph"/>
              <w:ind w:left="13" w:right="3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0.6%</w:t>
            </w:r>
          </w:p>
        </w:tc>
        <w:tc>
          <w:tcPr>
            <w:tcW w:w="2267" w:type="dxa"/>
          </w:tcPr>
          <w:p w14:paraId="499000C4" w14:textId="77777777" w:rsidR="000436DE" w:rsidRDefault="00601773">
            <w:pPr>
              <w:pStyle w:val="TableParagraph"/>
              <w:ind w:left="13" w:right="1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$2,445,275</w:t>
            </w:r>
          </w:p>
        </w:tc>
        <w:tc>
          <w:tcPr>
            <w:tcW w:w="2267" w:type="dxa"/>
          </w:tcPr>
          <w:p w14:paraId="499000C5" w14:textId="77777777" w:rsidR="000436DE" w:rsidRDefault="00601773">
            <w:pPr>
              <w:pStyle w:val="TableParagraph"/>
              <w:ind w:left="13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267,802</w:t>
            </w:r>
          </w:p>
        </w:tc>
      </w:tr>
    </w:tbl>
    <w:p w14:paraId="499000C7" w14:textId="77777777" w:rsidR="000436DE" w:rsidRDefault="00601773">
      <w:pPr>
        <w:spacing w:before="177" w:line="292" w:lineRule="auto"/>
        <w:ind w:left="262" w:right="259"/>
        <w:jc w:val="both"/>
        <w:rPr>
          <w:b/>
          <w:sz w:val="20"/>
        </w:rPr>
      </w:pPr>
      <w:r>
        <w:rPr>
          <w:b/>
          <w:color w:val="2B3D4F"/>
          <w:sz w:val="20"/>
        </w:rPr>
        <w:t xml:space="preserve">Interpretation: </w:t>
      </w:r>
      <w:r>
        <w:rPr>
          <w:color w:val="2B3D4F"/>
          <w:sz w:val="20"/>
        </w:rPr>
        <w:t>Correlation has minimal impact — the full range from -0.3 to +0.6 moves PoD by only ~2.3pp. This is because the cash rate mean-reverts quickly (kappa=0.24) and the funding cost is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dominated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by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wholesale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margin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(2%)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rather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than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cash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rate</w:t>
      </w:r>
      <w:r>
        <w:rPr>
          <w:color w:val="2B3D4F"/>
          <w:spacing w:val="80"/>
          <w:sz w:val="20"/>
        </w:rPr>
        <w:t xml:space="preserve"> </w:t>
      </w:r>
      <w:r>
        <w:rPr>
          <w:color w:val="2B3D4F"/>
          <w:sz w:val="20"/>
        </w:rPr>
        <w:t>level.</w:t>
      </w:r>
      <w:r>
        <w:rPr>
          <w:color w:val="2B3D4F"/>
          <w:spacing w:val="80"/>
          <w:sz w:val="20"/>
        </w:rPr>
        <w:t xml:space="preserve"> </w:t>
      </w:r>
      <w:r>
        <w:rPr>
          <w:b/>
          <w:color w:val="2B3D4F"/>
          <w:sz w:val="20"/>
        </w:rPr>
        <w:t>Correlation mis-specification is not a material risk for this product.</w:t>
      </w:r>
    </w:p>
    <w:p w14:paraId="499000C8" w14:textId="77777777" w:rsidR="000436DE" w:rsidRDefault="000436DE">
      <w:pPr>
        <w:spacing w:line="292" w:lineRule="auto"/>
        <w:jc w:val="both"/>
        <w:rPr>
          <w:b/>
          <w:sz w:val="20"/>
        </w:rPr>
        <w:sectPr w:rsidR="000436DE">
          <w:pgSz w:w="11910" w:h="16840"/>
          <w:pgMar w:top="1480" w:right="1275" w:bottom="820" w:left="1275" w:header="0" w:footer="625" w:gutter="0"/>
          <w:cols w:space="720"/>
        </w:sectPr>
      </w:pPr>
    </w:p>
    <w:p w14:paraId="499000C9" w14:textId="77777777" w:rsidR="000436DE" w:rsidRDefault="00601773">
      <w:pPr>
        <w:pStyle w:val="Heading1"/>
        <w:jc w:val="both"/>
      </w:pPr>
      <w:r>
        <w:rPr>
          <w:color w:val="2B3D4F"/>
        </w:rPr>
        <w:lastRenderedPageBreak/>
        <w:t xml:space="preserve">Cash Rate Stress </w:t>
      </w:r>
      <w:r>
        <w:rPr>
          <w:color w:val="2B3D4F"/>
          <w:spacing w:val="-4"/>
        </w:rPr>
        <w:t>Test</w:t>
      </w:r>
    </w:p>
    <w:p w14:paraId="499000CA" w14:textId="77777777" w:rsidR="000436DE" w:rsidRDefault="00601773">
      <w:pPr>
        <w:pStyle w:val="BodyText"/>
        <w:spacing w:before="93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499001C8" wp14:editId="1B4AC05A">
            <wp:simplePos x="0" y="0"/>
            <wp:positionH relativeFrom="page">
              <wp:posOffset>977265</wp:posOffset>
            </wp:positionH>
            <wp:positionV relativeFrom="paragraph">
              <wp:posOffset>224155</wp:posOffset>
            </wp:positionV>
            <wp:extent cx="5619115" cy="2733675"/>
            <wp:effectExtent l="0" t="0" r="635" b="952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F29CE" w14:textId="77777777" w:rsidR="00AB47CF" w:rsidRDefault="00AB47CF">
      <w:pPr>
        <w:pStyle w:val="BodyText"/>
        <w:spacing w:before="93"/>
        <w:rPr>
          <w:b/>
        </w:rPr>
      </w:pPr>
    </w:p>
    <w:p w14:paraId="3729377C" w14:textId="77777777" w:rsidR="00AB47CF" w:rsidRDefault="00AB47CF">
      <w:pPr>
        <w:pStyle w:val="BodyText"/>
        <w:spacing w:before="93"/>
        <w:rPr>
          <w:b/>
        </w:rPr>
      </w:pPr>
    </w:p>
    <w:p w14:paraId="499000CB" w14:textId="77777777" w:rsidR="000436DE" w:rsidRDefault="000436DE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714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134"/>
        <w:gridCol w:w="851"/>
        <w:gridCol w:w="1134"/>
        <w:gridCol w:w="2268"/>
      </w:tblGrid>
      <w:tr w:rsidR="000436DE" w14:paraId="499000D1" w14:textId="77777777">
        <w:trPr>
          <w:trHeight w:val="370"/>
        </w:trPr>
        <w:tc>
          <w:tcPr>
            <w:tcW w:w="2551" w:type="dxa"/>
            <w:shd w:val="clear" w:color="auto" w:fill="2B3D4F"/>
          </w:tcPr>
          <w:p w14:paraId="499000CC" w14:textId="77777777" w:rsidR="000436DE" w:rsidRDefault="00601773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1134" w:type="dxa"/>
            <w:shd w:val="clear" w:color="auto" w:fill="2B3D4F"/>
          </w:tcPr>
          <w:p w14:paraId="499000CD" w14:textId="77777777" w:rsidR="000436DE" w:rsidRDefault="00601773">
            <w:pPr>
              <w:pStyle w:val="TableParagraph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Theta</w:t>
            </w:r>
          </w:p>
        </w:tc>
        <w:tc>
          <w:tcPr>
            <w:tcW w:w="851" w:type="dxa"/>
            <w:shd w:val="clear" w:color="auto" w:fill="2B3D4F"/>
          </w:tcPr>
          <w:p w14:paraId="499000CE" w14:textId="77777777" w:rsidR="000436DE" w:rsidRDefault="00601773"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Kappa</w:t>
            </w:r>
          </w:p>
        </w:tc>
        <w:tc>
          <w:tcPr>
            <w:tcW w:w="1134" w:type="dxa"/>
            <w:shd w:val="clear" w:color="auto" w:fill="2B3D4F"/>
          </w:tcPr>
          <w:p w14:paraId="499000CF" w14:textId="77777777" w:rsidR="000436DE" w:rsidRDefault="00601773">
            <w:pPr>
              <w:pStyle w:val="TableParagraph"/>
              <w:ind w:left="10" w:right="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PoD</w:t>
            </w:r>
          </w:p>
        </w:tc>
        <w:tc>
          <w:tcPr>
            <w:tcW w:w="2268" w:type="dxa"/>
            <w:shd w:val="clear" w:color="auto" w:fill="2B3D4F"/>
          </w:tcPr>
          <w:p w14:paraId="499000D0" w14:textId="77777777" w:rsidR="000436DE" w:rsidRDefault="00601773">
            <w:pPr>
              <w:pStyle w:val="TableParagraph"/>
              <w:ind w:left="10" w:right="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Mean </w:t>
            </w:r>
            <w:r>
              <w:rPr>
                <w:b/>
                <w:color w:val="FFFFFF"/>
                <w:spacing w:val="-2"/>
                <w:sz w:val="18"/>
              </w:rPr>
              <w:t>Surplus</w:t>
            </w:r>
          </w:p>
        </w:tc>
      </w:tr>
      <w:tr w:rsidR="000436DE" w14:paraId="499000D7" w14:textId="77777777">
        <w:trPr>
          <w:trHeight w:val="370"/>
        </w:trPr>
        <w:tc>
          <w:tcPr>
            <w:tcW w:w="2551" w:type="dxa"/>
          </w:tcPr>
          <w:p w14:paraId="499000D2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Low rates </w:t>
            </w:r>
            <w:r>
              <w:rPr>
                <w:color w:val="2B3D4F"/>
                <w:spacing w:val="-2"/>
                <w:sz w:val="18"/>
              </w:rPr>
              <w:t>(theta=1.5%)</w:t>
            </w:r>
          </w:p>
        </w:tc>
        <w:tc>
          <w:tcPr>
            <w:tcW w:w="1134" w:type="dxa"/>
          </w:tcPr>
          <w:p w14:paraId="499000D3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1.50%</w:t>
            </w:r>
          </w:p>
        </w:tc>
        <w:tc>
          <w:tcPr>
            <w:tcW w:w="851" w:type="dxa"/>
          </w:tcPr>
          <w:p w14:paraId="499000D4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0.24</w:t>
            </w:r>
          </w:p>
        </w:tc>
        <w:tc>
          <w:tcPr>
            <w:tcW w:w="1134" w:type="dxa"/>
          </w:tcPr>
          <w:p w14:paraId="499000D5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0.5%</w:t>
            </w:r>
          </w:p>
        </w:tc>
        <w:tc>
          <w:tcPr>
            <w:tcW w:w="2268" w:type="dxa"/>
          </w:tcPr>
          <w:p w14:paraId="499000D6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$2,800,688</w:t>
            </w:r>
          </w:p>
        </w:tc>
      </w:tr>
      <w:tr w:rsidR="000436DE" w14:paraId="499000DD" w14:textId="77777777">
        <w:trPr>
          <w:trHeight w:val="370"/>
        </w:trPr>
        <w:tc>
          <w:tcPr>
            <w:tcW w:w="2551" w:type="dxa"/>
            <w:shd w:val="clear" w:color="auto" w:fill="F7F9F9"/>
          </w:tcPr>
          <w:p w14:paraId="499000D8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Base case </w:t>
            </w:r>
            <w:r>
              <w:rPr>
                <w:color w:val="2B3D4F"/>
                <w:spacing w:val="-2"/>
                <w:sz w:val="18"/>
              </w:rPr>
              <w:t>(theta=2.13%)</w:t>
            </w:r>
          </w:p>
        </w:tc>
        <w:tc>
          <w:tcPr>
            <w:tcW w:w="1134" w:type="dxa"/>
            <w:shd w:val="clear" w:color="auto" w:fill="F7F9F9"/>
          </w:tcPr>
          <w:p w14:paraId="499000D9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2.13%</w:t>
            </w:r>
          </w:p>
        </w:tc>
        <w:tc>
          <w:tcPr>
            <w:tcW w:w="851" w:type="dxa"/>
            <w:shd w:val="clear" w:color="auto" w:fill="F7F9F9"/>
          </w:tcPr>
          <w:p w14:paraId="499000DA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0.24</w:t>
            </w:r>
          </w:p>
        </w:tc>
        <w:tc>
          <w:tcPr>
            <w:tcW w:w="1134" w:type="dxa"/>
            <w:shd w:val="clear" w:color="auto" w:fill="F7F9F9"/>
          </w:tcPr>
          <w:p w14:paraId="499000DB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1.2%</w:t>
            </w:r>
          </w:p>
        </w:tc>
        <w:tc>
          <w:tcPr>
            <w:tcW w:w="2268" w:type="dxa"/>
            <w:shd w:val="clear" w:color="auto" w:fill="F7F9F9"/>
          </w:tcPr>
          <w:p w14:paraId="499000DC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$2,435,992</w:t>
            </w:r>
          </w:p>
        </w:tc>
      </w:tr>
      <w:tr w:rsidR="000436DE" w14:paraId="499000E3" w14:textId="77777777">
        <w:trPr>
          <w:trHeight w:val="370"/>
        </w:trPr>
        <w:tc>
          <w:tcPr>
            <w:tcW w:w="2551" w:type="dxa"/>
          </w:tcPr>
          <w:p w14:paraId="499000DE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Medium rates </w:t>
            </w:r>
            <w:r>
              <w:rPr>
                <w:color w:val="2B3D4F"/>
                <w:spacing w:val="-2"/>
                <w:sz w:val="18"/>
              </w:rPr>
              <w:t>(theta=3.5%)</w:t>
            </w:r>
          </w:p>
        </w:tc>
        <w:tc>
          <w:tcPr>
            <w:tcW w:w="1134" w:type="dxa"/>
          </w:tcPr>
          <w:p w14:paraId="499000DF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3.50%</w:t>
            </w:r>
          </w:p>
        </w:tc>
        <w:tc>
          <w:tcPr>
            <w:tcW w:w="851" w:type="dxa"/>
          </w:tcPr>
          <w:p w14:paraId="499000E0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0.24</w:t>
            </w:r>
          </w:p>
        </w:tc>
        <w:tc>
          <w:tcPr>
            <w:tcW w:w="1134" w:type="dxa"/>
          </w:tcPr>
          <w:p w14:paraId="499000E1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6.4%</w:t>
            </w:r>
          </w:p>
        </w:tc>
        <w:tc>
          <w:tcPr>
            <w:tcW w:w="2268" w:type="dxa"/>
          </w:tcPr>
          <w:p w14:paraId="499000E2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$1,634,200</w:t>
            </w:r>
          </w:p>
        </w:tc>
      </w:tr>
      <w:tr w:rsidR="000436DE" w14:paraId="499000E9" w14:textId="77777777">
        <w:trPr>
          <w:trHeight w:val="370"/>
        </w:trPr>
        <w:tc>
          <w:tcPr>
            <w:tcW w:w="2551" w:type="dxa"/>
            <w:shd w:val="clear" w:color="auto" w:fill="F7F9F9"/>
          </w:tcPr>
          <w:p w14:paraId="499000E4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High rates </w:t>
            </w:r>
            <w:r>
              <w:rPr>
                <w:color w:val="2B3D4F"/>
                <w:spacing w:val="-2"/>
                <w:sz w:val="18"/>
              </w:rPr>
              <w:t>(theta=4.5%)</w:t>
            </w:r>
          </w:p>
        </w:tc>
        <w:tc>
          <w:tcPr>
            <w:tcW w:w="1134" w:type="dxa"/>
            <w:shd w:val="clear" w:color="auto" w:fill="F7F9F9"/>
          </w:tcPr>
          <w:p w14:paraId="499000E5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4.50%</w:t>
            </w:r>
          </w:p>
        </w:tc>
        <w:tc>
          <w:tcPr>
            <w:tcW w:w="851" w:type="dxa"/>
            <w:shd w:val="clear" w:color="auto" w:fill="F7F9F9"/>
          </w:tcPr>
          <w:p w14:paraId="499000E6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0.24</w:t>
            </w:r>
          </w:p>
        </w:tc>
        <w:tc>
          <w:tcPr>
            <w:tcW w:w="1134" w:type="dxa"/>
            <w:shd w:val="clear" w:color="auto" w:fill="F7F9F9"/>
          </w:tcPr>
          <w:p w14:paraId="499000E7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15.8%</w:t>
            </w:r>
          </w:p>
        </w:tc>
        <w:tc>
          <w:tcPr>
            <w:tcW w:w="2268" w:type="dxa"/>
            <w:shd w:val="clear" w:color="auto" w:fill="F7F9F9"/>
          </w:tcPr>
          <w:p w14:paraId="499000E8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$1,087,025</w:t>
            </w:r>
          </w:p>
        </w:tc>
      </w:tr>
      <w:tr w:rsidR="000436DE" w14:paraId="499000EF" w14:textId="77777777">
        <w:trPr>
          <w:trHeight w:val="370"/>
        </w:trPr>
        <w:tc>
          <w:tcPr>
            <w:tcW w:w="2551" w:type="dxa"/>
          </w:tcPr>
          <w:p w14:paraId="499000EA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High + fast </w:t>
            </w:r>
            <w:r>
              <w:rPr>
                <w:color w:val="2B3D4F"/>
                <w:spacing w:val="-2"/>
                <w:sz w:val="18"/>
              </w:rPr>
              <w:t>reversion</w:t>
            </w:r>
          </w:p>
        </w:tc>
        <w:tc>
          <w:tcPr>
            <w:tcW w:w="1134" w:type="dxa"/>
          </w:tcPr>
          <w:p w14:paraId="499000EB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4.50%</w:t>
            </w:r>
          </w:p>
        </w:tc>
        <w:tc>
          <w:tcPr>
            <w:tcW w:w="851" w:type="dxa"/>
          </w:tcPr>
          <w:p w14:paraId="499000EC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0.5</w:t>
            </w:r>
          </w:p>
        </w:tc>
        <w:tc>
          <w:tcPr>
            <w:tcW w:w="1134" w:type="dxa"/>
          </w:tcPr>
          <w:p w14:paraId="499000ED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13.9%</w:t>
            </w:r>
          </w:p>
        </w:tc>
        <w:tc>
          <w:tcPr>
            <w:tcW w:w="2268" w:type="dxa"/>
          </w:tcPr>
          <w:p w14:paraId="499000EE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$1,050,697</w:t>
            </w:r>
          </w:p>
        </w:tc>
      </w:tr>
      <w:tr w:rsidR="000436DE" w14:paraId="499000F5" w14:textId="77777777">
        <w:trPr>
          <w:trHeight w:val="370"/>
        </w:trPr>
        <w:tc>
          <w:tcPr>
            <w:tcW w:w="2551" w:type="dxa"/>
            <w:shd w:val="clear" w:color="auto" w:fill="F7F9F9"/>
          </w:tcPr>
          <w:p w14:paraId="499000F0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Low + slow </w:t>
            </w:r>
            <w:r>
              <w:rPr>
                <w:color w:val="2B3D4F"/>
                <w:spacing w:val="-2"/>
                <w:sz w:val="18"/>
              </w:rPr>
              <w:t>reversion</w:t>
            </w:r>
          </w:p>
        </w:tc>
        <w:tc>
          <w:tcPr>
            <w:tcW w:w="1134" w:type="dxa"/>
            <w:shd w:val="clear" w:color="auto" w:fill="F7F9F9"/>
          </w:tcPr>
          <w:p w14:paraId="499000F1" w14:textId="77777777" w:rsidR="000436DE" w:rsidRDefault="00601773">
            <w:pPr>
              <w:pStyle w:val="TableParagraph"/>
              <w:ind w:left="10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1.50%</w:t>
            </w:r>
          </w:p>
        </w:tc>
        <w:tc>
          <w:tcPr>
            <w:tcW w:w="851" w:type="dxa"/>
            <w:shd w:val="clear" w:color="auto" w:fill="F7F9F9"/>
          </w:tcPr>
          <w:p w14:paraId="499000F2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0.1</w:t>
            </w:r>
          </w:p>
        </w:tc>
        <w:tc>
          <w:tcPr>
            <w:tcW w:w="1134" w:type="dxa"/>
            <w:shd w:val="clear" w:color="auto" w:fill="F7F9F9"/>
          </w:tcPr>
          <w:p w14:paraId="499000F3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5.0%</w:t>
            </w:r>
          </w:p>
        </w:tc>
        <w:tc>
          <w:tcPr>
            <w:tcW w:w="2268" w:type="dxa"/>
            <w:shd w:val="clear" w:color="auto" w:fill="F7F9F9"/>
          </w:tcPr>
          <w:p w14:paraId="499000F4" w14:textId="77777777" w:rsidR="000436DE" w:rsidRDefault="00601773">
            <w:pPr>
              <w:pStyle w:val="TableParagraph"/>
              <w:ind w:left="10" w:right="2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$2,194,523</w:t>
            </w:r>
          </w:p>
        </w:tc>
      </w:tr>
    </w:tbl>
    <w:p w14:paraId="63FC511F" w14:textId="77777777" w:rsidR="00AB47CF" w:rsidRDefault="00AB47CF">
      <w:pPr>
        <w:pStyle w:val="BodyText"/>
        <w:spacing w:before="177" w:line="292" w:lineRule="auto"/>
        <w:ind w:left="262" w:right="259"/>
        <w:jc w:val="both"/>
        <w:rPr>
          <w:b/>
          <w:color w:val="2B3D4F"/>
        </w:rPr>
      </w:pPr>
    </w:p>
    <w:p w14:paraId="499000F6" w14:textId="43425D26" w:rsidR="000436DE" w:rsidRDefault="00601773">
      <w:pPr>
        <w:pStyle w:val="BodyText"/>
        <w:spacing w:before="177" w:line="292" w:lineRule="auto"/>
        <w:ind w:left="262" w:right="259"/>
        <w:jc w:val="both"/>
      </w:pPr>
      <w:r>
        <w:rPr>
          <w:b/>
          <w:color w:val="2B3D4F"/>
        </w:rPr>
        <w:t xml:space="preserve">Interpretation: </w:t>
      </w:r>
      <w:r>
        <w:rPr>
          <w:color w:val="2B3D4F"/>
        </w:rPr>
        <w:t>Cash rates matter significantly — the spread between low (1.5%) and high (4.5%) theta is 15pp of PoD. Higher cash rates directly increase wholesale funding costs (2.0% + cash rate), accelerating the cost drag. The base assumption (theta=2.13%) reflects a low-rate environment. If the neutral rate settles at 3.5% (plausible post-COVID), PoD rises to 6.42%. At 4.5%, PoD rises to 15.81%.</w:t>
      </w:r>
    </w:p>
    <w:p w14:paraId="499000F7" w14:textId="77777777" w:rsidR="000436DE" w:rsidRDefault="00601773">
      <w:pPr>
        <w:pStyle w:val="BodyText"/>
        <w:spacing w:before="167" w:line="292" w:lineRule="auto"/>
        <w:ind w:left="262" w:right="259"/>
        <w:jc w:val="both"/>
      </w:pPr>
      <w:r>
        <w:rPr>
          <w:color w:val="2B3D4F"/>
        </w:rPr>
        <w:t xml:space="preserve">Note: faster mean reversion (kappa=0.5) barely changes the high-rate result — what matters is where rates settle, not how fast they get there. However, slow reversion (kappa=0.1) at low theta increases PoD to 5.0% because the cash rate takes longer to fall from its current 4.21% starting </w:t>
      </w:r>
      <w:r>
        <w:rPr>
          <w:color w:val="2B3D4F"/>
          <w:spacing w:val="-2"/>
        </w:rPr>
        <w:t>point.</w:t>
      </w:r>
    </w:p>
    <w:p w14:paraId="499000F8" w14:textId="77777777" w:rsidR="000436DE" w:rsidRDefault="000436DE">
      <w:pPr>
        <w:pStyle w:val="BodyText"/>
        <w:spacing w:line="292" w:lineRule="auto"/>
        <w:jc w:val="both"/>
        <w:sectPr w:rsidR="000436DE">
          <w:pgSz w:w="11910" w:h="16840"/>
          <w:pgMar w:top="1480" w:right="1275" w:bottom="820" w:left="1275" w:header="0" w:footer="625" w:gutter="0"/>
          <w:cols w:space="720"/>
        </w:sectPr>
      </w:pPr>
    </w:p>
    <w:p w14:paraId="499000F9" w14:textId="77777777" w:rsidR="000436DE" w:rsidRDefault="00601773">
      <w:pPr>
        <w:pStyle w:val="Heading1"/>
      </w:pPr>
      <w:r>
        <w:rPr>
          <w:color w:val="2B3D4F"/>
        </w:rPr>
        <w:lastRenderedPageBreak/>
        <w:t xml:space="preserve">Combined Stress </w:t>
      </w:r>
      <w:r>
        <w:rPr>
          <w:color w:val="2B3D4F"/>
          <w:spacing w:val="-2"/>
        </w:rPr>
        <w:t>Scenarios</w:t>
      </w:r>
    </w:p>
    <w:p w14:paraId="499000FA" w14:textId="77777777" w:rsidR="000436DE" w:rsidRDefault="00601773">
      <w:pPr>
        <w:pStyle w:val="BodyText"/>
        <w:spacing w:before="242" w:line="292" w:lineRule="auto"/>
        <w:ind w:left="262"/>
      </w:pPr>
      <w:r>
        <w:rPr>
          <w:color w:val="2B3D4F"/>
        </w:rPr>
        <w:t>Combined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scenarios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test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multiple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adverse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conditions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simultaneously,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representing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plausible macroeconomic regimes over a 30-year horizon.</w:t>
      </w:r>
    </w:p>
    <w:p w14:paraId="499000FB" w14:textId="77777777" w:rsidR="000436DE" w:rsidRDefault="00601773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99001CA" wp14:editId="499001CB">
            <wp:simplePos x="0" y="0"/>
            <wp:positionH relativeFrom="page">
              <wp:posOffset>969189</wp:posOffset>
            </wp:positionH>
            <wp:positionV relativeFrom="paragraph">
              <wp:posOffset>162479</wp:posOffset>
            </wp:positionV>
            <wp:extent cx="5648013" cy="294208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13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000FC" w14:textId="77777777" w:rsidR="000436DE" w:rsidRDefault="000436DE">
      <w:pPr>
        <w:pStyle w:val="BodyText"/>
        <w:spacing w:before="1"/>
        <w:rPr>
          <w:sz w:val="7"/>
        </w:rPr>
      </w:pPr>
    </w:p>
    <w:p w14:paraId="429E6290" w14:textId="77777777" w:rsidR="00AB47CF" w:rsidRDefault="00AB47CF">
      <w:pPr>
        <w:pStyle w:val="BodyText"/>
        <w:spacing w:before="1"/>
        <w:rPr>
          <w:sz w:val="7"/>
        </w:rPr>
      </w:pPr>
    </w:p>
    <w:p w14:paraId="6EFC420F" w14:textId="77777777" w:rsidR="00AB47CF" w:rsidRDefault="00AB47CF">
      <w:pPr>
        <w:pStyle w:val="BodyText"/>
        <w:spacing w:before="1"/>
        <w:rPr>
          <w:sz w:val="7"/>
        </w:rPr>
      </w:pPr>
    </w:p>
    <w:p w14:paraId="5127152C" w14:textId="77777777" w:rsidR="00AB47CF" w:rsidRDefault="00AB47CF">
      <w:pPr>
        <w:pStyle w:val="BodyText"/>
        <w:spacing w:before="1"/>
        <w:rPr>
          <w:sz w:val="7"/>
        </w:rPr>
      </w:pPr>
    </w:p>
    <w:p w14:paraId="14BC7197" w14:textId="77777777" w:rsidR="00AB47CF" w:rsidRDefault="00AB47CF">
      <w:pPr>
        <w:pStyle w:val="BodyText"/>
        <w:spacing w:before="1"/>
        <w:rPr>
          <w:sz w:val="7"/>
        </w:rPr>
      </w:pPr>
    </w:p>
    <w:tbl>
      <w:tblPr>
        <w:tblW w:w="0" w:type="auto"/>
        <w:tblInd w:w="430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021"/>
        <w:gridCol w:w="1815"/>
        <w:gridCol w:w="1815"/>
        <w:gridCol w:w="1588"/>
      </w:tblGrid>
      <w:tr w:rsidR="000436DE" w14:paraId="49900102" w14:textId="77777777">
        <w:trPr>
          <w:trHeight w:val="370"/>
        </w:trPr>
        <w:tc>
          <w:tcPr>
            <w:tcW w:w="2268" w:type="dxa"/>
            <w:shd w:val="clear" w:color="auto" w:fill="2B3D4F"/>
          </w:tcPr>
          <w:p w14:paraId="499000FD" w14:textId="77777777" w:rsidR="000436DE" w:rsidRDefault="00601773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1021" w:type="dxa"/>
            <w:shd w:val="clear" w:color="auto" w:fill="2B3D4F"/>
          </w:tcPr>
          <w:p w14:paraId="499000FE" w14:textId="77777777" w:rsidR="000436DE" w:rsidRDefault="00601773">
            <w:pPr>
              <w:pStyle w:val="TableParagraph"/>
              <w:ind w:left="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PoD</w:t>
            </w:r>
          </w:p>
        </w:tc>
        <w:tc>
          <w:tcPr>
            <w:tcW w:w="1815" w:type="dxa"/>
            <w:shd w:val="clear" w:color="auto" w:fill="2B3D4F"/>
          </w:tcPr>
          <w:p w14:paraId="499000FF" w14:textId="77777777" w:rsidR="000436DE" w:rsidRDefault="00601773">
            <w:pPr>
              <w:pStyle w:val="TableParagraph"/>
              <w:ind w:left="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Median </w:t>
            </w:r>
            <w:r>
              <w:rPr>
                <w:b/>
                <w:color w:val="FFFFFF"/>
                <w:spacing w:val="-2"/>
                <w:sz w:val="18"/>
              </w:rPr>
              <w:t>Surplus</w:t>
            </w:r>
          </w:p>
        </w:tc>
        <w:tc>
          <w:tcPr>
            <w:tcW w:w="1815" w:type="dxa"/>
            <w:shd w:val="clear" w:color="auto" w:fill="2B3D4F"/>
          </w:tcPr>
          <w:p w14:paraId="49900100" w14:textId="77777777" w:rsidR="000436DE" w:rsidRDefault="00601773">
            <w:pPr>
              <w:pStyle w:val="TableParagraph"/>
              <w:ind w:left="7" w:right="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Cond. </w:t>
            </w:r>
            <w:r>
              <w:rPr>
                <w:b/>
                <w:color w:val="FFFFFF"/>
                <w:spacing w:val="-2"/>
                <w:sz w:val="18"/>
              </w:rPr>
              <w:t>Deficit</w:t>
            </w:r>
          </w:p>
        </w:tc>
        <w:tc>
          <w:tcPr>
            <w:tcW w:w="1588" w:type="dxa"/>
            <w:shd w:val="clear" w:color="auto" w:fill="2B3D4F"/>
          </w:tcPr>
          <w:p w14:paraId="49900101" w14:textId="77777777" w:rsidR="000436DE" w:rsidRDefault="00601773">
            <w:pPr>
              <w:pStyle w:val="TableParagraph"/>
              <w:ind w:left="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LMI </w:t>
            </w:r>
            <w:r>
              <w:rPr>
                <w:b/>
                <w:color w:val="FFFFFF"/>
                <w:spacing w:val="-4"/>
                <w:sz w:val="18"/>
              </w:rPr>
              <w:t>Fair</w:t>
            </w:r>
          </w:p>
        </w:tc>
      </w:tr>
      <w:tr w:rsidR="000436DE" w14:paraId="49900108" w14:textId="77777777">
        <w:trPr>
          <w:trHeight w:val="370"/>
        </w:trPr>
        <w:tc>
          <w:tcPr>
            <w:tcW w:w="2268" w:type="dxa"/>
          </w:tcPr>
          <w:p w14:paraId="49900103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Base </w:t>
            </w:r>
            <w:r>
              <w:rPr>
                <w:color w:val="2B3D4F"/>
                <w:spacing w:val="-4"/>
                <w:sz w:val="18"/>
              </w:rPr>
              <w:t>case</w:t>
            </w:r>
          </w:p>
        </w:tc>
        <w:tc>
          <w:tcPr>
            <w:tcW w:w="1021" w:type="dxa"/>
          </w:tcPr>
          <w:p w14:paraId="49900104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1.2%</w:t>
            </w:r>
          </w:p>
        </w:tc>
        <w:tc>
          <w:tcPr>
            <w:tcW w:w="1815" w:type="dxa"/>
          </w:tcPr>
          <w:p w14:paraId="49900105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$2,151,975</w:t>
            </w:r>
          </w:p>
        </w:tc>
        <w:tc>
          <w:tcPr>
            <w:tcW w:w="1815" w:type="dxa"/>
          </w:tcPr>
          <w:p w14:paraId="49900106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333,305</w:t>
            </w:r>
          </w:p>
        </w:tc>
        <w:tc>
          <w:tcPr>
            <w:tcW w:w="1588" w:type="dxa"/>
          </w:tcPr>
          <w:p w14:paraId="49900107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$1,716</w:t>
            </w:r>
          </w:p>
        </w:tc>
      </w:tr>
      <w:tr w:rsidR="000436DE" w14:paraId="4990010E" w14:textId="77777777">
        <w:trPr>
          <w:trHeight w:val="370"/>
        </w:trPr>
        <w:tc>
          <w:tcPr>
            <w:tcW w:w="2268" w:type="dxa"/>
            <w:shd w:val="clear" w:color="auto" w:fill="F7F9F9"/>
          </w:tcPr>
          <w:p w14:paraId="49900109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Mild </w:t>
            </w:r>
            <w:r>
              <w:rPr>
                <w:color w:val="2B3D4F"/>
                <w:spacing w:val="-2"/>
                <w:sz w:val="18"/>
              </w:rPr>
              <w:t>adverse</w:t>
            </w:r>
          </w:p>
        </w:tc>
        <w:tc>
          <w:tcPr>
            <w:tcW w:w="1021" w:type="dxa"/>
            <w:shd w:val="clear" w:color="auto" w:fill="F7F9F9"/>
          </w:tcPr>
          <w:p w14:paraId="4990010A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10.2%</w:t>
            </w:r>
          </w:p>
        </w:tc>
        <w:tc>
          <w:tcPr>
            <w:tcW w:w="1815" w:type="dxa"/>
            <w:shd w:val="clear" w:color="auto" w:fill="F7F9F9"/>
          </w:tcPr>
          <w:p w14:paraId="4990010B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$1,213,437</w:t>
            </w:r>
          </w:p>
        </w:tc>
        <w:tc>
          <w:tcPr>
            <w:tcW w:w="1815" w:type="dxa"/>
            <w:shd w:val="clear" w:color="auto" w:fill="F7F9F9"/>
          </w:tcPr>
          <w:p w14:paraId="4990010C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476,020</w:t>
            </w:r>
          </w:p>
        </w:tc>
        <w:tc>
          <w:tcPr>
            <w:tcW w:w="1588" w:type="dxa"/>
            <w:shd w:val="clear" w:color="auto" w:fill="F7F9F9"/>
          </w:tcPr>
          <w:p w14:paraId="4990010D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$21,096</w:t>
            </w:r>
          </w:p>
        </w:tc>
      </w:tr>
      <w:tr w:rsidR="000436DE" w14:paraId="49900114" w14:textId="77777777">
        <w:trPr>
          <w:trHeight w:val="370"/>
        </w:trPr>
        <w:tc>
          <w:tcPr>
            <w:tcW w:w="2268" w:type="dxa"/>
          </w:tcPr>
          <w:p w14:paraId="4990010F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Moderate </w:t>
            </w:r>
            <w:r>
              <w:rPr>
                <w:color w:val="2B3D4F"/>
                <w:spacing w:val="-2"/>
                <w:sz w:val="18"/>
              </w:rPr>
              <w:t>adverse</w:t>
            </w:r>
          </w:p>
        </w:tc>
        <w:tc>
          <w:tcPr>
            <w:tcW w:w="1021" w:type="dxa"/>
          </w:tcPr>
          <w:p w14:paraId="49900110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36.1%</w:t>
            </w:r>
          </w:p>
        </w:tc>
        <w:tc>
          <w:tcPr>
            <w:tcW w:w="1815" w:type="dxa"/>
          </w:tcPr>
          <w:p w14:paraId="49900111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$366,723</w:t>
            </w:r>
          </w:p>
        </w:tc>
        <w:tc>
          <w:tcPr>
            <w:tcW w:w="1815" w:type="dxa"/>
          </w:tcPr>
          <w:p w14:paraId="49900112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725,191</w:t>
            </w:r>
          </w:p>
        </w:tc>
        <w:tc>
          <w:tcPr>
            <w:tcW w:w="1588" w:type="dxa"/>
          </w:tcPr>
          <w:p w14:paraId="49900113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$76,789</w:t>
            </w:r>
          </w:p>
        </w:tc>
      </w:tr>
      <w:tr w:rsidR="000436DE" w14:paraId="4990011A" w14:textId="77777777">
        <w:trPr>
          <w:trHeight w:val="370"/>
        </w:trPr>
        <w:tc>
          <w:tcPr>
            <w:tcW w:w="2268" w:type="dxa"/>
            <w:shd w:val="clear" w:color="auto" w:fill="F7F9F9"/>
          </w:tcPr>
          <w:p w14:paraId="49900115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Severe</w:t>
            </w:r>
          </w:p>
        </w:tc>
        <w:tc>
          <w:tcPr>
            <w:tcW w:w="1021" w:type="dxa"/>
            <w:shd w:val="clear" w:color="auto" w:fill="F7F9F9"/>
          </w:tcPr>
          <w:p w14:paraId="49900116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49.4%</w:t>
            </w:r>
          </w:p>
        </w:tc>
        <w:tc>
          <w:tcPr>
            <w:tcW w:w="1815" w:type="dxa"/>
            <w:shd w:val="clear" w:color="auto" w:fill="F7F9F9"/>
          </w:tcPr>
          <w:p w14:paraId="49900117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$25,144</w:t>
            </w:r>
          </w:p>
        </w:tc>
        <w:tc>
          <w:tcPr>
            <w:tcW w:w="1815" w:type="dxa"/>
            <w:shd w:val="clear" w:color="auto" w:fill="F7F9F9"/>
          </w:tcPr>
          <w:p w14:paraId="49900118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1,057,764</w:t>
            </w:r>
          </w:p>
        </w:tc>
        <w:tc>
          <w:tcPr>
            <w:tcW w:w="1588" w:type="dxa"/>
            <w:shd w:val="clear" w:color="auto" w:fill="F7F9F9"/>
          </w:tcPr>
          <w:p w14:paraId="49900119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$114,788</w:t>
            </w:r>
          </w:p>
        </w:tc>
      </w:tr>
      <w:tr w:rsidR="000436DE" w14:paraId="49900120" w14:textId="77777777">
        <w:trPr>
          <w:trHeight w:val="370"/>
        </w:trPr>
        <w:tc>
          <w:tcPr>
            <w:tcW w:w="2268" w:type="dxa"/>
          </w:tcPr>
          <w:p w14:paraId="4990011B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Japan </w:t>
            </w:r>
            <w:r>
              <w:rPr>
                <w:color w:val="2B3D4F"/>
                <w:spacing w:val="-2"/>
                <w:sz w:val="18"/>
              </w:rPr>
              <w:t>scenario</w:t>
            </w:r>
          </w:p>
        </w:tc>
        <w:tc>
          <w:tcPr>
            <w:tcW w:w="1021" w:type="dxa"/>
          </w:tcPr>
          <w:p w14:paraId="4990011C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16.8%</w:t>
            </w:r>
          </w:p>
        </w:tc>
        <w:tc>
          <w:tcPr>
            <w:tcW w:w="1815" w:type="dxa"/>
          </w:tcPr>
          <w:p w14:paraId="4990011D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$537,872</w:t>
            </w:r>
          </w:p>
        </w:tc>
        <w:tc>
          <w:tcPr>
            <w:tcW w:w="1815" w:type="dxa"/>
          </w:tcPr>
          <w:p w14:paraId="4990011E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327,824</w:t>
            </w:r>
          </w:p>
        </w:tc>
        <w:tc>
          <w:tcPr>
            <w:tcW w:w="1588" w:type="dxa"/>
          </w:tcPr>
          <w:p w14:paraId="4990011F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$34,543</w:t>
            </w:r>
          </w:p>
        </w:tc>
      </w:tr>
      <w:tr w:rsidR="000436DE" w14:paraId="49900126" w14:textId="77777777">
        <w:trPr>
          <w:trHeight w:val="370"/>
        </w:trPr>
        <w:tc>
          <w:tcPr>
            <w:tcW w:w="2268" w:type="dxa"/>
            <w:shd w:val="clear" w:color="auto" w:fill="F7F9F9"/>
          </w:tcPr>
          <w:p w14:paraId="49900121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GFC-</w:t>
            </w:r>
            <w:r>
              <w:rPr>
                <w:color w:val="2B3D4F"/>
                <w:spacing w:val="-4"/>
                <w:sz w:val="18"/>
              </w:rPr>
              <w:t>like</w:t>
            </w:r>
          </w:p>
        </w:tc>
        <w:tc>
          <w:tcPr>
            <w:tcW w:w="1021" w:type="dxa"/>
            <w:shd w:val="clear" w:color="auto" w:fill="F7F9F9"/>
          </w:tcPr>
          <w:p w14:paraId="49900122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15.1%</w:t>
            </w:r>
          </w:p>
        </w:tc>
        <w:tc>
          <w:tcPr>
            <w:tcW w:w="1815" w:type="dxa"/>
            <w:shd w:val="clear" w:color="auto" w:fill="F7F9F9"/>
          </w:tcPr>
          <w:p w14:paraId="49900123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$1,387,860</w:t>
            </w:r>
          </w:p>
        </w:tc>
        <w:tc>
          <w:tcPr>
            <w:tcW w:w="1815" w:type="dxa"/>
            <w:shd w:val="clear" w:color="auto" w:fill="F7F9F9"/>
          </w:tcPr>
          <w:p w14:paraId="49900124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717,772</w:t>
            </w:r>
          </w:p>
        </w:tc>
        <w:tc>
          <w:tcPr>
            <w:tcW w:w="1588" w:type="dxa"/>
            <w:shd w:val="clear" w:color="auto" w:fill="F7F9F9"/>
          </w:tcPr>
          <w:p w14:paraId="49900125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$41,219</w:t>
            </w:r>
          </w:p>
        </w:tc>
      </w:tr>
      <w:tr w:rsidR="000436DE" w14:paraId="4990012C" w14:textId="77777777">
        <w:trPr>
          <w:trHeight w:val="370"/>
        </w:trPr>
        <w:tc>
          <w:tcPr>
            <w:tcW w:w="2268" w:type="dxa"/>
          </w:tcPr>
          <w:p w14:paraId="49900127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Stagflation</w:t>
            </w:r>
          </w:p>
        </w:tc>
        <w:tc>
          <w:tcPr>
            <w:tcW w:w="1021" w:type="dxa"/>
          </w:tcPr>
          <w:p w14:paraId="49900128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62.5%</w:t>
            </w:r>
          </w:p>
        </w:tc>
        <w:tc>
          <w:tcPr>
            <w:tcW w:w="1815" w:type="dxa"/>
          </w:tcPr>
          <w:p w14:paraId="49900129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366,432</w:t>
            </w:r>
          </w:p>
        </w:tc>
        <w:tc>
          <w:tcPr>
            <w:tcW w:w="1815" w:type="dxa"/>
          </w:tcPr>
          <w:p w14:paraId="4990012A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1,064,094</w:t>
            </w:r>
          </w:p>
        </w:tc>
        <w:tc>
          <w:tcPr>
            <w:tcW w:w="1588" w:type="dxa"/>
          </w:tcPr>
          <w:p w14:paraId="4990012B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$128,471</w:t>
            </w:r>
          </w:p>
        </w:tc>
      </w:tr>
      <w:tr w:rsidR="000436DE" w14:paraId="49900132" w14:textId="77777777">
        <w:trPr>
          <w:trHeight w:val="370"/>
        </w:trPr>
        <w:tc>
          <w:tcPr>
            <w:tcW w:w="2268" w:type="dxa"/>
            <w:shd w:val="clear" w:color="auto" w:fill="F7F9F9"/>
          </w:tcPr>
          <w:p w14:paraId="4990012D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Goldilocks</w:t>
            </w:r>
          </w:p>
        </w:tc>
        <w:tc>
          <w:tcPr>
            <w:tcW w:w="1021" w:type="dxa"/>
            <w:shd w:val="clear" w:color="auto" w:fill="F7F9F9"/>
          </w:tcPr>
          <w:p w14:paraId="4990012E" w14:textId="77777777" w:rsidR="000436DE" w:rsidRDefault="00601773">
            <w:pPr>
              <w:pStyle w:val="TableParagraph"/>
              <w:ind w:left="8"/>
              <w:rPr>
                <w:sz w:val="18"/>
              </w:rPr>
            </w:pPr>
            <w:r>
              <w:rPr>
                <w:color w:val="2B3D4F"/>
                <w:spacing w:val="-4"/>
                <w:sz w:val="18"/>
              </w:rPr>
              <w:t>0.0%</w:t>
            </w:r>
          </w:p>
        </w:tc>
        <w:tc>
          <w:tcPr>
            <w:tcW w:w="1815" w:type="dxa"/>
            <w:shd w:val="clear" w:color="auto" w:fill="F7F9F9"/>
          </w:tcPr>
          <w:p w14:paraId="4990012F" w14:textId="77777777" w:rsidR="000436DE" w:rsidRDefault="00601773">
            <w:pPr>
              <w:pStyle w:val="TableParagraph"/>
              <w:ind w:left="7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$4,626,009</w:t>
            </w:r>
          </w:p>
        </w:tc>
        <w:tc>
          <w:tcPr>
            <w:tcW w:w="1815" w:type="dxa"/>
            <w:shd w:val="clear" w:color="auto" w:fill="F7F9F9"/>
          </w:tcPr>
          <w:p w14:paraId="49900130" w14:textId="77777777" w:rsidR="000436DE" w:rsidRDefault="00601773">
            <w:pPr>
              <w:pStyle w:val="TableParagraph"/>
              <w:ind w:left="7" w:right="1"/>
              <w:rPr>
                <w:sz w:val="18"/>
              </w:rPr>
            </w:pPr>
            <w:r>
              <w:rPr>
                <w:color w:val="2B3D4F"/>
                <w:sz w:val="18"/>
              </w:rPr>
              <w:t>$-</w:t>
            </w:r>
            <w:r>
              <w:rPr>
                <w:color w:val="2B3D4F"/>
                <w:spacing w:val="-2"/>
                <w:sz w:val="18"/>
              </w:rPr>
              <w:t>359,278</w:t>
            </w:r>
          </w:p>
        </w:tc>
        <w:tc>
          <w:tcPr>
            <w:tcW w:w="1588" w:type="dxa"/>
            <w:shd w:val="clear" w:color="auto" w:fill="F7F9F9"/>
          </w:tcPr>
          <w:p w14:paraId="49900131" w14:textId="77777777" w:rsidR="000436DE" w:rsidRDefault="00601773">
            <w:pPr>
              <w:pStyle w:val="TableParagraph"/>
              <w:ind w:left="4"/>
              <w:rPr>
                <w:sz w:val="18"/>
              </w:rPr>
            </w:pPr>
            <w:r>
              <w:rPr>
                <w:color w:val="2B3D4F"/>
                <w:spacing w:val="-5"/>
                <w:sz w:val="18"/>
              </w:rPr>
              <w:t>$20</w:t>
            </w:r>
          </w:p>
        </w:tc>
      </w:tr>
    </w:tbl>
    <w:p w14:paraId="49900133" w14:textId="77777777" w:rsidR="000436DE" w:rsidRDefault="00601773">
      <w:pPr>
        <w:pStyle w:val="Heading3"/>
      </w:pPr>
      <w:r>
        <w:rPr>
          <w:color w:val="2B3D4F"/>
        </w:rPr>
        <w:t xml:space="preserve">Key </w:t>
      </w:r>
      <w:r>
        <w:rPr>
          <w:color w:val="2B3D4F"/>
          <w:spacing w:val="-2"/>
        </w:rPr>
        <w:t>observations:</w:t>
      </w:r>
    </w:p>
    <w:p w14:paraId="49900134" w14:textId="77777777" w:rsidR="000436DE" w:rsidRDefault="00601773">
      <w:pPr>
        <w:pStyle w:val="ListParagraph"/>
        <w:numPr>
          <w:ilvl w:val="0"/>
          <w:numId w:val="2"/>
        </w:numPr>
        <w:tabs>
          <w:tab w:val="left" w:pos="562"/>
        </w:tabs>
        <w:spacing w:before="220" w:line="271" w:lineRule="auto"/>
        <w:ind w:right="260"/>
        <w:rPr>
          <w:sz w:val="20"/>
        </w:rPr>
      </w:pPr>
      <w:r>
        <w:rPr>
          <w:color w:val="2B3D4F"/>
          <w:sz w:val="20"/>
        </w:rPr>
        <w:t>The</w:t>
      </w:r>
      <w:r>
        <w:rPr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Goldilocks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scenario</w:t>
      </w:r>
      <w:r>
        <w:rPr>
          <w:b/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(11%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return,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12%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vol,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moderate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rates)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produces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PoD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of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just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0.02%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— essentially zero risk.</w:t>
      </w:r>
    </w:p>
    <w:p w14:paraId="49900135" w14:textId="77777777" w:rsidR="000436DE" w:rsidRDefault="00601773">
      <w:pPr>
        <w:pStyle w:val="ListParagraph"/>
        <w:numPr>
          <w:ilvl w:val="0"/>
          <w:numId w:val="2"/>
        </w:numPr>
        <w:tabs>
          <w:tab w:val="left" w:pos="562"/>
        </w:tabs>
        <w:spacing w:line="271" w:lineRule="auto"/>
        <w:ind w:right="709"/>
        <w:rPr>
          <w:sz w:val="20"/>
        </w:rPr>
      </w:pPr>
      <w:r>
        <w:rPr>
          <w:color w:val="2B3D4F"/>
          <w:sz w:val="20"/>
        </w:rPr>
        <w:t>The</w:t>
      </w:r>
      <w:r>
        <w:rPr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Japan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scenario</w:t>
      </w:r>
      <w:r>
        <w:rPr>
          <w:b/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(low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returns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but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low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vol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and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low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rates)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gives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16.83%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PoD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—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low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rates partially offset low returns.</w:t>
      </w:r>
    </w:p>
    <w:p w14:paraId="49900136" w14:textId="77777777" w:rsidR="000436DE" w:rsidRDefault="00601773">
      <w:pPr>
        <w:pStyle w:val="ListParagraph"/>
        <w:numPr>
          <w:ilvl w:val="0"/>
          <w:numId w:val="2"/>
        </w:numPr>
        <w:tabs>
          <w:tab w:val="left" w:pos="562"/>
        </w:tabs>
        <w:spacing w:line="271" w:lineRule="auto"/>
        <w:ind w:right="298"/>
        <w:rPr>
          <w:sz w:val="20"/>
        </w:rPr>
      </w:pPr>
      <w:r>
        <w:rPr>
          <w:b/>
          <w:color w:val="2B3D4F"/>
          <w:sz w:val="20"/>
        </w:rPr>
        <w:t>Mild</w:t>
      </w:r>
      <w:r>
        <w:rPr>
          <w:b/>
          <w:color w:val="2B3D4F"/>
          <w:spacing w:val="-3"/>
          <w:sz w:val="20"/>
        </w:rPr>
        <w:t xml:space="preserve"> </w:t>
      </w:r>
      <w:r>
        <w:rPr>
          <w:b/>
          <w:color w:val="2B3D4F"/>
          <w:sz w:val="20"/>
        </w:rPr>
        <w:t>adverse</w:t>
      </w:r>
      <w:r>
        <w:rPr>
          <w:b/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(8%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return,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20%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vol)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pushes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PoD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to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10.19%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—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a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material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deterioration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>from</w:t>
      </w:r>
      <w:r>
        <w:rPr>
          <w:color w:val="2B3D4F"/>
          <w:spacing w:val="-3"/>
          <w:sz w:val="20"/>
        </w:rPr>
        <w:t xml:space="preserve"> </w:t>
      </w:r>
      <w:r>
        <w:rPr>
          <w:color w:val="2B3D4F"/>
          <w:sz w:val="20"/>
        </w:rPr>
        <w:t xml:space="preserve">base </w:t>
      </w:r>
      <w:r>
        <w:rPr>
          <w:color w:val="2B3D4F"/>
          <w:spacing w:val="-2"/>
          <w:sz w:val="20"/>
        </w:rPr>
        <w:t>case.</w:t>
      </w:r>
    </w:p>
    <w:p w14:paraId="49900137" w14:textId="77777777" w:rsidR="000436DE" w:rsidRDefault="00601773">
      <w:pPr>
        <w:pStyle w:val="ListParagraph"/>
        <w:numPr>
          <w:ilvl w:val="0"/>
          <w:numId w:val="2"/>
        </w:numPr>
        <w:tabs>
          <w:tab w:val="left" w:pos="562"/>
        </w:tabs>
        <w:spacing w:before="113" w:line="271" w:lineRule="auto"/>
        <w:ind w:right="298"/>
        <w:rPr>
          <w:sz w:val="20"/>
        </w:rPr>
      </w:pPr>
      <w:r>
        <w:rPr>
          <w:b/>
          <w:color w:val="2B3D4F"/>
          <w:sz w:val="20"/>
        </w:rPr>
        <w:t>Stagflation</w:t>
      </w:r>
      <w:r>
        <w:rPr>
          <w:b/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(low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returns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+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high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vol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+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high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rates)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is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62.45%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PoD.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This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is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scenario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the</w:t>
      </w:r>
      <w:r>
        <w:rPr>
          <w:color w:val="2B3D4F"/>
          <w:spacing w:val="-2"/>
          <w:sz w:val="20"/>
        </w:rPr>
        <w:t xml:space="preserve"> </w:t>
      </w:r>
      <w:r>
        <w:rPr>
          <w:color w:val="2B3D4F"/>
          <w:sz w:val="20"/>
        </w:rPr>
        <w:t>product must insure against.</w:t>
      </w:r>
    </w:p>
    <w:p w14:paraId="49900138" w14:textId="5EF218FA" w:rsidR="000436DE" w:rsidRPr="006F6D8A" w:rsidRDefault="00601773">
      <w:pPr>
        <w:pStyle w:val="ListParagraph"/>
        <w:numPr>
          <w:ilvl w:val="0"/>
          <w:numId w:val="2"/>
        </w:numPr>
        <w:tabs>
          <w:tab w:val="left" w:pos="562"/>
        </w:tabs>
        <w:spacing w:line="271" w:lineRule="auto"/>
        <w:ind w:right="598"/>
        <w:rPr>
          <w:color w:val="EE0000"/>
          <w:sz w:val="20"/>
        </w:rPr>
      </w:pPr>
      <w:r>
        <w:rPr>
          <w:color w:val="2B3D4F"/>
          <w:sz w:val="20"/>
        </w:rPr>
        <w:t>The</w:t>
      </w:r>
      <w:r>
        <w:rPr>
          <w:color w:val="2B3D4F"/>
          <w:spacing w:val="-4"/>
          <w:sz w:val="20"/>
        </w:rPr>
        <w:t xml:space="preserve"> </w:t>
      </w:r>
      <w:r>
        <w:rPr>
          <w:b/>
          <w:color w:val="2B3D4F"/>
          <w:sz w:val="20"/>
        </w:rPr>
        <w:t>GFC-like</w:t>
      </w:r>
      <w:r>
        <w:rPr>
          <w:b/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scenario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(25%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vol,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negative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correlation)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gives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15.09%</w:t>
      </w:r>
      <w:r w:rsidR="006736E8">
        <w:rPr>
          <w:color w:val="2B3D4F"/>
          <w:sz w:val="20"/>
        </w:rPr>
        <w:t xml:space="preserve">. This is extremely adverse but 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sustained</w:t>
      </w:r>
      <w:r>
        <w:rPr>
          <w:color w:val="2B3D4F"/>
          <w:spacing w:val="-4"/>
          <w:sz w:val="20"/>
        </w:rPr>
        <w:t xml:space="preserve"> </w:t>
      </w:r>
      <w:r>
        <w:rPr>
          <w:color w:val="2B3D4F"/>
          <w:sz w:val="20"/>
        </w:rPr>
        <w:t>2008-level volatility for 30</w:t>
      </w:r>
      <w:r w:rsidRPr="006F6D8A">
        <w:rPr>
          <w:color w:val="000000" w:themeColor="text1"/>
          <w:sz w:val="20"/>
        </w:rPr>
        <w:t xml:space="preserve"> years </w:t>
      </w:r>
      <w:r w:rsidR="006F6D8A" w:rsidRPr="006F6D8A">
        <w:rPr>
          <w:color w:val="EE0000"/>
          <w:sz w:val="20"/>
        </w:rPr>
        <w:t>has never occurred</w:t>
      </w:r>
      <w:r w:rsidRPr="006F6D8A">
        <w:rPr>
          <w:color w:val="EE0000"/>
          <w:sz w:val="20"/>
        </w:rPr>
        <w:t>.</w:t>
      </w:r>
    </w:p>
    <w:p w14:paraId="49900139" w14:textId="77777777" w:rsidR="000436DE" w:rsidRDefault="000436DE">
      <w:pPr>
        <w:pStyle w:val="ListParagraph"/>
        <w:spacing w:line="271" w:lineRule="auto"/>
        <w:rPr>
          <w:sz w:val="20"/>
        </w:rPr>
        <w:sectPr w:rsidR="000436DE">
          <w:pgSz w:w="11910" w:h="16840"/>
          <w:pgMar w:top="1480" w:right="1275" w:bottom="820" w:left="1275" w:header="0" w:footer="625" w:gutter="0"/>
          <w:cols w:space="720"/>
        </w:sectPr>
      </w:pPr>
    </w:p>
    <w:p w14:paraId="4990013A" w14:textId="77777777" w:rsidR="000436DE" w:rsidRDefault="00601773">
      <w:pPr>
        <w:pStyle w:val="Heading1"/>
      </w:pPr>
      <w:r>
        <w:rPr>
          <w:color w:val="2B3D4F"/>
        </w:rPr>
        <w:lastRenderedPageBreak/>
        <w:t xml:space="preserve">Actuarial </w:t>
      </w:r>
      <w:r>
        <w:rPr>
          <w:color w:val="2B3D4F"/>
          <w:spacing w:val="-2"/>
        </w:rPr>
        <w:t>Assessment</w:t>
      </w:r>
    </w:p>
    <w:p w14:paraId="4990013B" w14:textId="5E3E946A" w:rsidR="000436DE" w:rsidRDefault="00601773">
      <w:pPr>
        <w:pStyle w:val="Heading2"/>
        <w:spacing w:before="304"/>
      </w:pPr>
      <w:r>
        <w:rPr>
          <w:color w:val="3497A8"/>
        </w:rPr>
        <w:t xml:space="preserve">Is the </w:t>
      </w:r>
      <w:r w:rsidR="00953476">
        <w:rPr>
          <w:color w:val="3497A8"/>
        </w:rPr>
        <w:t xml:space="preserve">EPM </w:t>
      </w:r>
      <w:r>
        <w:rPr>
          <w:color w:val="3497A8"/>
        </w:rPr>
        <w:t xml:space="preserve">Model </w:t>
      </w:r>
      <w:r>
        <w:rPr>
          <w:color w:val="3497A8"/>
          <w:spacing w:val="-2"/>
        </w:rPr>
        <w:t>Sound?</w:t>
      </w:r>
    </w:p>
    <w:p w14:paraId="034BF87F" w14:textId="62EAE431" w:rsidR="00C4652E" w:rsidRPr="00643808" w:rsidRDefault="000D3041">
      <w:pPr>
        <w:pStyle w:val="BodyText"/>
        <w:spacing w:before="203" w:line="292" w:lineRule="auto"/>
        <w:ind w:left="262" w:right="259"/>
        <w:jc w:val="both"/>
        <w:rPr>
          <w:b/>
          <w:color w:val="EE0000"/>
        </w:rPr>
      </w:pPr>
      <w:r w:rsidRPr="00643808">
        <w:rPr>
          <w:b/>
          <w:color w:val="EE0000"/>
        </w:rPr>
        <w:t xml:space="preserve">Single </w:t>
      </w:r>
      <w:r w:rsidR="00C4652E" w:rsidRPr="00643808">
        <w:rPr>
          <w:b/>
          <w:color w:val="EE0000"/>
        </w:rPr>
        <w:t>Caveat</w:t>
      </w:r>
    </w:p>
    <w:p w14:paraId="4990013C" w14:textId="1F0E5127" w:rsidR="000436DE" w:rsidRPr="00643808" w:rsidRDefault="00601773">
      <w:pPr>
        <w:pStyle w:val="BodyText"/>
        <w:spacing w:before="203" w:line="292" w:lineRule="auto"/>
        <w:ind w:left="262" w:right="259"/>
        <w:jc w:val="both"/>
        <w:rPr>
          <w:color w:val="EE0000"/>
        </w:rPr>
      </w:pPr>
      <w:r w:rsidRPr="00643808">
        <w:rPr>
          <w:bCs/>
          <w:color w:val="EE0000"/>
        </w:rPr>
        <w:t>Yes, with one important caveat.</w:t>
      </w:r>
      <w:r w:rsidRPr="00643808">
        <w:rPr>
          <w:b/>
          <w:color w:val="EE0000"/>
        </w:rPr>
        <w:t xml:space="preserve"> </w:t>
      </w:r>
      <w:r w:rsidRPr="00643808">
        <w:rPr>
          <w:color w:val="EE0000"/>
        </w:rPr>
        <w:t xml:space="preserve">The </w:t>
      </w:r>
      <w:r w:rsidR="00C026DB" w:rsidRPr="00643808">
        <w:rPr>
          <w:color w:val="EE0000"/>
        </w:rPr>
        <w:t xml:space="preserve">EPM Model </w:t>
      </w:r>
      <w:r w:rsidRPr="00643808">
        <w:rPr>
          <w:color w:val="EE0000"/>
        </w:rPr>
        <w:t>v14c (</w:t>
      </w:r>
      <w:r w:rsidR="00503DE8" w:rsidRPr="00643808">
        <w:rPr>
          <w:color w:val="EE0000"/>
        </w:rPr>
        <w:t>Optimized</w:t>
      </w:r>
      <w:r w:rsidRPr="00643808">
        <w:rPr>
          <w:color w:val="EE0000"/>
        </w:rPr>
        <w:t>) is well-constructed: the Vasicek/OU process for cash rates uses exact discretisation with MLE-estimated parameters; the GBM</w:t>
      </w:r>
      <w:r w:rsidR="00953476" w:rsidRPr="00643808">
        <w:rPr>
          <w:color w:val="EE0000"/>
        </w:rPr>
        <w:t xml:space="preserve"> with Stochastic Drift </w:t>
      </w:r>
      <w:r w:rsidRPr="00643808">
        <w:rPr>
          <w:color w:val="EE0000"/>
        </w:rPr>
        <w:t>+MeanRev</w:t>
      </w:r>
      <w:r w:rsidRPr="00643808">
        <w:rPr>
          <w:color w:val="EE0000"/>
          <w:spacing w:val="-1"/>
        </w:rPr>
        <w:t xml:space="preserve"> </w:t>
      </w:r>
      <w:r w:rsidR="00953476" w:rsidRPr="00643808">
        <w:rPr>
          <w:color w:val="EE0000"/>
          <w:spacing w:val="-1"/>
        </w:rPr>
        <w:t>index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model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is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grounded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in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Shevchenko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(2026)</w:t>
      </w:r>
      <w:r w:rsidR="008F0BC3" w:rsidRPr="00643808">
        <w:rPr>
          <w:color w:val="EE0000"/>
        </w:rPr>
        <w:t xml:space="preserve"> and well suited to modelling index returns over long 30 year time horizons</w:t>
      </w:r>
      <w:r w:rsidRPr="00643808">
        <w:rPr>
          <w:color w:val="EE0000"/>
        </w:rPr>
        <w:t>;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the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insurance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structure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(LMI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+</w:t>
      </w:r>
      <w:r w:rsidRPr="00643808">
        <w:rPr>
          <w:color w:val="EE0000"/>
          <w:spacing w:val="-1"/>
        </w:rPr>
        <w:t xml:space="preserve"> </w:t>
      </w:r>
      <w:r w:rsidRPr="00643808">
        <w:rPr>
          <w:color w:val="EE0000"/>
        </w:rPr>
        <w:t>tail risk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reinsurance)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is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correctly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implemented;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and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the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Payments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Waterfall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provides</w:t>
      </w:r>
      <w:r w:rsidRPr="00643808">
        <w:rPr>
          <w:color w:val="EE0000"/>
          <w:spacing w:val="40"/>
        </w:rPr>
        <w:t xml:space="preserve"> </w:t>
      </w:r>
      <w:r w:rsidRPr="00643808">
        <w:rPr>
          <w:color w:val="EE0000"/>
        </w:rPr>
        <w:t>genuine portfolio-level risk mitigation.</w:t>
      </w:r>
    </w:p>
    <w:p w14:paraId="78208996" w14:textId="60210C00" w:rsidR="00467656" w:rsidRPr="00643808" w:rsidRDefault="00601773">
      <w:pPr>
        <w:pStyle w:val="BodyText"/>
        <w:spacing w:before="167" w:line="288" w:lineRule="auto"/>
        <w:ind w:left="262" w:right="259"/>
        <w:jc w:val="both"/>
        <w:rPr>
          <w:color w:val="EE0000"/>
        </w:rPr>
      </w:pPr>
      <w:r w:rsidRPr="00643808">
        <w:rPr>
          <w:color w:val="EE0000"/>
        </w:rPr>
        <w:t xml:space="preserve">The </w:t>
      </w:r>
      <w:r w:rsidRPr="00643808">
        <w:rPr>
          <w:b/>
          <w:color w:val="EE0000"/>
        </w:rPr>
        <w:t xml:space="preserve">caveat </w:t>
      </w:r>
      <w:r w:rsidRPr="00643808">
        <w:rPr>
          <w:color w:val="EE0000"/>
        </w:rPr>
        <w:t>is that the mean-reverting equity model is a strong assumption. While there is empirical evidence for mean reversion in equity markets over long horizons (Fama &amp; French 1988, Poterba &amp; Summers 1988), the speed of mean reversion (</w:t>
      </w:r>
      <w:r w:rsidRPr="00643808">
        <w:rPr>
          <w:rFonts w:ascii="Symbol" w:hAnsi="Symbol"/>
          <w:color w:val="EE0000"/>
        </w:rPr>
        <w:t></w:t>
      </w:r>
      <w:r w:rsidRPr="00643808">
        <w:rPr>
          <w:rFonts w:ascii="Times New Roman" w:hAnsi="Times New Roman"/>
          <w:color w:val="EE0000"/>
        </w:rPr>
        <w:t xml:space="preserve"> </w:t>
      </w:r>
      <w:r w:rsidRPr="00643808">
        <w:rPr>
          <w:color w:val="EE0000"/>
        </w:rPr>
        <w:t xml:space="preserve">= 0.163) is a calibrated parameter, not a physical constant. </w:t>
      </w:r>
      <w:r w:rsidR="00784485" w:rsidRPr="00643808">
        <w:rPr>
          <w:color w:val="EE0000"/>
        </w:rPr>
        <w:t xml:space="preserve">The parameter used </w:t>
      </w:r>
      <w:r w:rsidR="00C026DB" w:rsidRPr="00643808">
        <w:rPr>
          <w:color w:val="EE0000"/>
        </w:rPr>
        <w:t xml:space="preserve">in the model </w:t>
      </w:r>
      <w:r w:rsidR="00784485" w:rsidRPr="00643808">
        <w:rPr>
          <w:color w:val="EE0000"/>
        </w:rPr>
        <w:t>has been statistically cal</w:t>
      </w:r>
      <w:r w:rsidR="003F211E" w:rsidRPr="00643808">
        <w:rPr>
          <w:color w:val="EE0000"/>
        </w:rPr>
        <w:t>c</w:t>
      </w:r>
      <w:r w:rsidR="00784485" w:rsidRPr="00643808">
        <w:rPr>
          <w:color w:val="EE0000"/>
        </w:rPr>
        <w:t>u</w:t>
      </w:r>
      <w:r w:rsidR="003F211E" w:rsidRPr="00643808">
        <w:rPr>
          <w:color w:val="EE0000"/>
        </w:rPr>
        <w:t xml:space="preserve">lated </w:t>
      </w:r>
      <w:r w:rsidR="00784485" w:rsidRPr="00643808">
        <w:rPr>
          <w:color w:val="EE0000"/>
        </w:rPr>
        <w:t>fro</w:t>
      </w:r>
      <w:r w:rsidR="003F211E" w:rsidRPr="00643808">
        <w:rPr>
          <w:color w:val="EE0000"/>
        </w:rPr>
        <w:t>m</w:t>
      </w:r>
      <w:r w:rsidR="00784485" w:rsidRPr="00643808">
        <w:rPr>
          <w:color w:val="EE0000"/>
        </w:rPr>
        <w:t xml:space="preserve"> historical </w:t>
      </w:r>
      <w:r w:rsidR="003F211E" w:rsidRPr="00643808">
        <w:rPr>
          <w:color w:val="EE0000"/>
        </w:rPr>
        <w:t xml:space="preserve">index </w:t>
      </w:r>
      <w:r w:rsidR="00784485" w:rsidRPr="00643808">
        <w:rPr>
          <w:color w:val="EE0000"/>
        </w:rPr>
        <w:t>data</w:t>
      </w:r>
      <w:r w:rsidR="00467656" w:rsidRPr="00643808">
        <w:rPr>
          <w:color w:val="EE0000"/>
        </w:rPr>
        <w:t xml:space="preserve"> -</w:t>
      </w:r>
      <w:r w:rsidR="005408A2" w:rsidRPr="00643808">
        <w:rPr>
          <w:color w:val="EE0000"/>
        </w:rPr>
        <w:t xml:space="preserve"> a</w:t>
      </w:r>
      <w:r w:rsidR="00467656" w:rsidRPr="00643808">
        <w:rPr>
          <w:color w:val="EE0000"/>
        </w:rPr>
        <w:t xml:space="preserve"> correct approach</w:t>
      </w:r>
      <w:r w:rsidR="003F211E" w:rsidRPr="00643808">
        <w:rPr>
          <w:color w:val="EE0000"/>
        </w:rPr>
        <w:t xml:space="preserve">. </w:t>
      </w:r>
    </w:p>
    <w:p w14:paraId="42E918EA" w14:textId="42A94B51" w:rsidR="00AF63D3" w:rsidRPr="00643808" w:rsidRDefault="003F211E" w:rsidP="00467656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</w:rPr>
        <w:t>I</w:t>
      </w:r>
      <w:r w:rsidR="00601773" w:rsidRPr="00643808">
        <w:rPr>
          <w:color w:val="EE0000"/>
        </w:rPr>
        <w:t xml:space="preserve">f equity markets become structurally less mean-reverting </w:t>
      </w:r>
      <w:r w:rsidR="00601773" w:rsidRPr="00643808">
        <w:rPr>
          <w:strike/>
          <w:color w:val="EE0000"/>
        </w:rPr>
        <w:t>(e.g., due to passive investing dominance or regime changes)</w:t>
      </w:r>
      <w:r w:rsidR="00601773" w:rsidRPr="00643808">
        <w:rPr>
          <w:color w:val="EE0000"/>
        </w:rPr>
        <w:t>, the product's risk profile would deteriorate significantly.</w:t>
      </w:r>
      <w:r w:rsidR="00467656" w:rsidRPr="00643808">
        <w:rPr>
          <w:color w:val="EE0000"/>
        </w:rPr>
        <w:t xml:space="preserve"> However, </w:t>
      </w:r>
      <w:r w:rsidR="002D3722" w:rsidRPr="00643808">
        <w:rPr>
          <w:color w:val="EE0000"/>
          <w:lang w:val="en-GB"/>
        </w:rPr>
        <w:t xml:space="preserve">the long EPM loan durations, </w:t>
      </w:r>
      <w:r w:rsidR="00467656" w:rsidRPr="00643808">
        <w:rPr>
          <w:color w:val="EE0000"/>
          <w:lang w:val="en-GB"/>
        </w:rPr>
        <w:t xml:space="preserve">mean </w:t>
      </w:r>
      <w:r w:rsidR="00102B6D" w:rsidRPr="00643808">
        <w:rPr>
          <w:color w:val="EE0000"/>
          <w:lang w:val="en-GB"/>
        </w:rPr>
        <w:t>this</w:t>
      </w:r>
      <w:r w:rsidR="002D3722" w:rsidRPr="00643808">
        <w:rPr>
          <w:color w:val="EE0000"/>
          <w:lang w:val="en-GB"/>
        </w:rPr>
        <w:t xml:space="preserve"> caveat must be limited to </w:t>
      </w:r>
      <w:r w:rsidR="00102B6D" w:rsidRPr="00643808">
        <w:rPr>
          <w:color w:val="EE0000"/>
          <w:lang w:val="en-GB"/>
        </w:rPr>
        <w:t>the question of</w:t>
      </w:r>
      <w:r w:rsidR="00BB495A" w:rsidRPr="00643808">
        <w:rPr>
          <w:color w:val="EE0000"/>
          <w:lang w:val="en-GB"/>
        </w:rPr>
        <w:t xml:space="preserve"> </w:t>
      </w:r>
      <w:r w:rsidR="00AF63D3" w:rsidRPr="00643808">
        <w:rPr>
          <w:color w:val="EE0000"/>
          <w:lang w:val="en-GB"/>
        </w:rPr>
        <w:t xml:space="preserve">how and why mean reversion </w:t>
      </w:r>
      <w:r w:rsidR="00467656" w:rsidRPr="00643808">
        <w:rPr>
          <w:color w:val="EE0000"/>
          <w:lang w:val="en-GB"/>
        </w:rPr>
        <w:t xml:space="preserve">might </w:t>
      </w:r>
      <w:r w:rsidR="00AF63D3" w:rsidRPr="00643808">
        <w:rPr>
          <w:color w:val="EE0000"/>
          <w:lang w:val="en-GB"/>
        </w:rPr>
        <w:t xml:space="preserve">weaken over a </w:t>
      </w:r>
      <w:r w:rsidR="00AF63D3" w:rsidRPr="00643808">
        <w:rPr>
          <w:i/>
          <w:iCs/>
          <w:color w:val="EE0000"/>
          <w:lang w:val="en-GB"/>
        </w:rPr>
        <w:t>30</w:t>
      </w:r>
      <w:r w:rsidR="00AF63D3" w:rsidRPr="00643808">
        <w:rPr>
          <w:i/>
          <w:iCs/>
          <w:color w:val="EE0000"/>
          <w:lang w:val="en-GB"/>
        </w:rPr>
        <w:noBreakHyphen/>
        <w:t>year horizon</w:t>
      </w:r>
      <w:r w:rsidR="00AF63D3" w:rsidRPr="00643808">
        <w:rPr>
          <w:color w:val="EE0000"/>
          <w:lang w:val="en-GB"/>
        </w:rPr>
        <w:t>, not in the short</w:t>
      </w:r>
      <w:r w:rsidR="00AF63D3" w:rsidRPr="00643808">
        <w:rPr>
          <w:color w:val="EE0000"/>
          <w:lang w:val="en-GB"/>
        </w:rPr>
        <w:noBreakHyphen/>
        <w:t>run microstructure sense.</w:t>
      </w:r>
    </w:p>
    <w:p w14:paraId="23702541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Core takeaway</w:t>
      </w:r>
    </w:p>
    <w:p w14:paraId="2051E4DD" w14:textId="1AE5B979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 xml:space="preserve">Over </w:t>
      </w:r>
      <w:r w:rsidRPr="00643808">
        <w:rPr>
          <w:b/>
          <w:bCs/>
          <w:color w:val="EE0000"/>
          <w:lang w:val="en-GB"/>
        </w:rPr>
        <w:t>30 years</w:t>
      </w:r>
      <w:r w:rsidRPr="00643808">
        <w:rPr>
          <w:color w:val="EE0000"/>
          <w:lang w:val="en-GB"/>
        </w:rPr>
        <w:t>, equity markets become less mean</w:t>
      </w:r>
      <w:r w:rsidRPr="00643808">
        <w:rPr>
          <w:color w:val="EE0000"/>
          <w:lang w:val="en-GB"/>
        </w:rPr>
        <w:noBreakHyphen/>
        <w:t>reverting because the forces that normally pull returns, valuations, or volatility back to a stable long</w:t>
      </w:r>
      <w:r w:rsidRPr="00643808">
        <w:rPr>
          <w:color w:val="EE0000"/>
          <w:lang w:val="en-GB"/>
        </w:rPr>
        <w:noBreakHyphen/>
        <w:t>run average lose statistical power relative to structural drift, regime shifts, and compounding uncertainty.</w:t>
      </w:r>
    </w:p>
    <w:p w14:paraId="00C5B93F" w14:textId="23040F36" w:rsidR="00AF63D3" w:rsidRPr="00643808" w:rsidRDefault="00AF63D3" w:rsidP="001863E5">
      <w:pPr>
        <w:pStyle w:val="BodyText"/>
        <w:spacing w:before="167" w:line="288" w:lineRule="auto"/>
        <w:ind w:left="262" w:right="259"/>
        <w:rPr>
          <w:color w:val="EE0000"/>
          <w:lang w:val="en-GB"/>
        </w:rPr>
      </w:pPr>
      <w:r w:rsidRPr="00643808">
        <w:rPr>
          <w:color w:val="EE0000"/>
          <w:lang w:val="en-GB"/>
        </w:rPr>
        <w:t>In other words:</w:t>
      </w:r>
      <w:r w:rsidR="001863E5" w:rsidRPr="00643808">
        <w:rPr>
          <w:color w:val="EE0000"/>
          <w:lang w:val="en-GB"/>
        </w:rPr>
        <w:t xml:space="preserve"> </w:t>
      </w:r>
      <w:r w:rsidRPr="00643808">
        <w:rPr>
          <w:color w:val="EE0000"/>
          <w:lang w:val="en-GB"/>
        </w:rPr>
        <w:t xml:space="preserve">the longer the horizon, the more the “mean” itself moves, so reversion has nothing stable to revert </w:t>
      </w:r>
      <w:r w:rsidRPr="00643808">
        <w:rPr>
          <w:i/>
          <w:iCs/>
          <w:color w:val="EE0000"/>
          <w:lang w:val="en-GB"/>
        </w:rPr>
        <w:t>to</w:t>
      </w:r>
      <w:r w:rsidRPr="00643808">
        <w:rPr>
          <w:color w:val="EE0000"/>
          <w:lang w:val="en-GB"/>
        </w:rPr>
        <w:t>.</w:t>
      </w:r>
    </w:p>
    <w:p w14:paraId="5765358D" w14:textId="4814C861" w:rsidR="00AF63D3" w:rsidRPr="00C4652E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C4652E">
        <w:rPr>
          <w:b/>
          <w:bCs/>
          <w:color w:val="009999"/>
          <w:sz w:val="28"/>
          <w:szCs w:val="28"/>
          <w:lang w:val="en-GB"/>
        </w:rPr>
        <w:t>The long</w:t>
      </w:r>
      <w:r w:rsidRPr="00C4652E">
        <w:rPr>
          <w:b/>
          <w:bCs/>
          <w:color w:val="009999"/>
          <w:sz w:val="28"/>
          <w:szCs w:val="28"/>
          <w:lang w:val="en-GB"/>
        </w:rPr>
        <w:noBreakHyphen/>
        <w:t>run mean is not stationary over 30 years</w:t>
      </w:r>
    </w:p>
    <w:p w14:paraId="60C45097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 xml:space="preserve">Mean reversion requires a </w:t>
      </w:r>
      <w:r w:rsidRPr="00643808">
        <w:rPr>
          <w:b/>
          <w:bCs/>
          <w:color w:val="EE0000"/>
          <w:lang w:val="en-GB"/>
        </w:rPr>
        <w:t>stable mean</w:t>
      </w:r>
      <w:r w:rsidRPr="00643808">
        <w:rPr>
          <w:color w:val="EE0000"/>
          <w:lang w:val="en-GB"/>
        </w:rPr>
        <w:t>. Over 30 years, the mean itself shifts due to:</w:t>
      </w:r>
    </w:p>
    <w:p w14:paraId="6654A00C" w14:textId="77777777" w:rsidR="00AF63D3" w:rsidRPr="00643808" w:rsidRDefault="00AF63D3" w:rsidP="00AF63D3">
      <w:pPr>
        <w:pStyle w:val="BodyText"/>
        <w:numPr>
          <w:ilvl w:val="0"/>
          <w:numId w:val="4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Demographic transitions</w:t>
      </w:r>
    </w:p>
    <w:p w14:paraId="578CDB7A" w14:textId="77777777" w:rsidR="00AF63D3" w:rsidRPr="00643808" w:rsidRDefault="00AF63D3" w:rsidP="00AF63D3">
      <w:pPr>
        <w:pStyle w:val="BodyText"/>
        <w:numPr>
          <w:ilvl w:val="0"/>
          <w:numId w:val="4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Productivity regime changes</w:t>
      </w:r>
    </w:p>
    <w:p w14:paraId="51CCBF78" w14:textId="77777777" w:rsidR="00AF63D3" w:rsidRPr="00643808" w:rsidRDefault="00AF63D3" w:rsidP="00AF63D3">
      <w:pPr>
        <w:pStyle w:val="BodyText"/>
        <w:numPr>
          <w:ilvl w:val="0"/>
          <w:numId w:val="4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Structural inflation changes</w:t>
      </w:r>
    </w:p>
    <w:p w14:paraId="36DA4ADE" w14:textId="77777777" w:rsidR="00AF63D3" w:rsidRPr="00643808" w:rsidRDefault="00AF63D3" w:rsidP="00AF63D3">
      <w:pPr>
        <w:pStyle w:val="BodyText"/>
        <w:numPr>
          <w:ilvl w:val="0"/>
          <w:numId w:val="4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Shifts in globalisation vs fragmentation</w:t>
      </w:r>
    </w:p>
    <w:p w14:paraId="6F76EC2E" w14:textId="77777777" w:rsidR="00AF63D3" w:rsidRPr="00643808" w:rsidRDefault="00AF63D3" w:rsidP="00AF63D3">
      <w:pPr>
        <w:pStyle w:val="BodyText"/>
        <w:numPr>
          <w:ilvl w:val="0"/>
          <w:numId w:val="4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Permanent changes in risk premia</w:t>
      </w:r>
    </w:p>
    <w:p w14:paraId="404F9021" w14:textId="77777777" w:rsidR="00AF63D3" w:rsidRPr="00643808" w:rsidRDefault="00AF63D3" w:rsidP="00AF63D3">
      <w:pPr>
        <w:pStyle w:val="BodyText"/>
        <w:numPr>
          <w:ilvl w:val="0"/>
          <w:numId w:val="4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Tax/regulatory resets</w:t>
      </w:r>
    </w:p>
    <w:p w14:paraId="4122DEF6" w14:textId="727D2328" w:rsidR="00AF63D3" w:rsidRPr="00643808" w:rsidRDefault="00AF63D3" w:rsidP="00F02DEE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Effect:</w:t>
      </w:r>
      <w:r w:rsidRPr="00643808">
        <w:rPr>
          <w:color w:val="EE0000"/>
          <w:lang w:val="en-GB"/>
        </w:rPr>
        <w:t xml:space="preserve"> The “anchor” moves → reversion collapses.</w:t>
      </w:r>
      <w:r w:rsidR="00F02DEE" w:rsidRPr="00643808">
        <w:rPr>
          <w:color w:val="EE0000"/>
          <w:lang w:val="en-GB"/>
        </w:rPr>
        <w:t xml:space="preserve"> </w:t>
      </w:r>
      <w:r w:rsidRPr="00643808">
        <w:rPr>
          <w:color w:val="EE0000"/>
          <w:lang w:val="en-GB"/>
        </w:rPr>
        <w:t>This is the single biggest reason long</w:t>
      </w:r>
      <w:r w:rsidRPr="00643808">
        <w:rPr>
          <w:color w:val="EE0000"/>
          <w:lang w:val="en-GB"/>
        </w:rPr>
        <w:noBreakHyphen/>
        <w:t xml:space="preserve">horizon equity returns look like </w:t>
      </w:r>
      <w:r w:rsidRPr="00643808">
        <w:rPr>
          <w:b/>
          <w:bCs/>
          <w:color w:val="EE0000"/>
          <w:lang w:val="en-GB"/>
        </w:rPr>
        <w:t>GBM with stochastic drift</w:t>
      </w:r>
      <w:r w:rsidRPr="00643808">
        <w:rPr>
          <w:color w:val="EE0000"/>
          <w:lang w:val="en-GB"/>
        </w:rPr>
        <w:t>, not an OU process.</w:t>
      </w:r>
    </w:p>
    <w:p w14:paraId="63E4B148" w14:textId="0977CFE7" w:rsidR="00AF63D3" w:rsidRPr="00B976AE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B976AE">
        <w:rPr>
          <w:b/>
          <w:bCs/>
          <w:color w:val="009999"/>
          <w:sz w:val="28"/>
          <w:szCs w:val="28"/>
          <w:lang w:val="en-GB"/>
        </w:rPr>
        <w:t>Drift uncertainty dominates shock reversion</w:t>
      </w:r>
    </w:p>
    <w:p w14:paraId="577211F6" w14:textId="36987C77" w:rsidR="00AF63D3" w:rsidRPr="00643808" w:rsidRDefault="00AF63D3" w:rsidP="007F3198">
      <w:pPr>
        <w:pStyle w:val="BodyText"/>
        <w:spacing w:before="167" w:line="288" w:lineRule="auto"/>
        <w:ind w:left="262" w:right="259"/>
        <w:rPr>
          <w:color w:val="EE0000"/>
          <w:lang w:val="en-GB"/>
        </w:rPr>
      </w:pPr>
      <w:r w:rsidRPr="00643808">
        <w:rPr>
          <w:color w:val="EE0000"/>
          <w:lang w:val="en-GB"/>
        </w:rPr>
        <w:t>In short horizons, volatility shocks matter.</w:t>
      </w:r>
      <w:r w:rsidR="007F3198" w:rsidRPr="00643808">
        <w:rPr>
          <w:color w:val="EE0000"/>
          <w:lang w:val="en-GB"/>
        </w:rPr>
        <w:t xml:space="preserve"> </w:t>
      </w:r>
      <w:r w:rsidRPr="00643808">
        <w:rPr>
          <w:color w:val="EE0000"/>
          <w:lang w:val="en-GB"/>
        </w:rPr>
        <w:t>In 30</w:t>
      </w:r>
      <w:r w:rsidRPr="00643808">
        <w:rPr>
          <w:color w:val="EE0000"/>
          <w:lang w:val="en-GB"/>
        </w:rPr>
        <w:noBreakHyphen/>
        <w:t>year horizons, drift uncertainty dominates variance.</w:t>
      </w:r>
    </w:p>
    <w:p w14:paraId="1C8AA40B" w14:textId="77777777" w:rsidR="002C7FF4" w:rsidRDefault="002C7FF4">
      <w:pPr>
        <w:rPr>
          <w:color w:val="EE0000"/>
          <w:sz w:val="20"/>
          <w:szCs w:val="20"/>
          <w:lang w:val="en-GB"/>
        </w:rPr>
      </w:pPr>
      <w:r>
        <w:rPr>
          <w:color w:val="EE0000"/>
          <w:lang w:val="en-GB"/>
        </w:rPr>
        <w:br w:type="page"/>
      </w:r>
    </w:p>
    <w:p w14:paraId="4E27FF68" w14:textId="1A17C26E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lastRenderedPageBreak/>
        <w:t>Mathematically:</w:t>
      </w:r>
    </w:p>
    <w:p w14:paraId="6F7E07FA" w14:textId="77777777" w:rsidR="00AF63D3" w:rsidRPr="00643808" w:rsidRDefault="00AF63D3" w:rsidP="00AF63D3">
      <w:pPr>
        <w:pStyle w:val="BodyText"/>
        <w:numPr>
          <w:ilvl w:val="0"/>
          <w:numId w:val="5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Short horizon: variance ≈ σ²</w:t>
      </w:r>
    </w:p>
    <w:p w14:paraId="510501CC" w14:textId="77777777" w:rsidR="00AF63D3" w:rsidRPr="00643808" w:rsidRDefault="00AF63D3" w:rsidP="00AF63D3">
      <w:pPr>
        <w:pStyle w:val="BodyText"/>
        <w:numPr>
          <w:ilvl w:val="0"/>
          <w:numId w:val="5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Long horizon: variance ≈ μ</w:t>
      </w:r>
      <w:r w:rsidRPr="00643808">
        <w:rPr>
          <w:color w:val="EE0000"/>
          <w:lang w:val="en-GB"/>
        </w:rPr>
        <w:noBreakHyphen/>
        <w:t>uncertainty × time</w:t>
      </w:r>
    </w:p>
    <w:p w14:paraId="4822D23D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So even if volatility mean</w:t>
      </w:r>
      <w:r w:rsidRPr="00643808">
        <w:rPr>
          <w:color w:val="EE0000"/>
          <w:lang w:val="en-GB"/>
        </w:rPr>
        <w:noBreakHyphen/>
        <w:t xml:space="preserve">reverts, the terminal distribution is driven by drift uncertainty, which does </w:t>
      </w:r>
      <w:r w:rsidRPr="00643808">
        <w:rPr>
          <w:i/>
          <w:iCs/>
          <w:color w:val="EE0000"/>
          <w:lang w:val="en-GB"/>
        </w:rPr>
        <w:t>not</w:t>
      </w:r>
      <w:r w:rsidRPr="00643808">
        <w:rPr>
          <w:color w:val="EE0000"/>
          <w:lang w:val="en-GB"/>
        </w:rPr>
        <w:t xml:space="preserve"> mean revert.</w:t>
      </w:r>
    </w:p>
    <w:p w14:paraId="7AE853E9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Effect:</w:t>
      </w:r>
      <w:r w:rsidRPr="00643808">
        <w:rPr>
          <w:color w:val="EE0000"/>
          <w:lang w:val="en-GB"/>
        </w:rPr>
        <w:t xml:space="preserve"> Mean reversion becomes statistically undetectable.</w:t>
      </w:r>
    </w:p>
    <w:p w14:paraId="0918D991" w14:textId="77B086C6" w:rsidR="00AF63D3" w:rsidRPr="00B976AE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B976AE">
        <w:rPr>
          <w:b/>
          <w:bCs/>
          <w:color w:val="009999"/>
          <w:sz w:val="28"/>
          <w:szCs w:val="28"/>
          <w:lang w:val="en-GB"/>
        </w:rPr>
        <w:t>Structural breaks overwhelm cyclical reversion</w:t>
      </w:r>
    </w:p>
    <w:p w14:paraId="195F53B7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Over 30 years, you almost always get at least one of:</w:t>
      </w:r>
    </w:p>
    <w:p w14:paraId="791B4441" w14:textId="77777777" w:rsidR="00AF63D3" w:rsidRPr="00643808" w:rsidRDefault="00AF63D3" w:rsidP="00AF63D3">
      <w:pPr>
        <w:pStyle w:val="BodyText"/>
        <w:numPr>
          <w:ilvl w:val="0"/>
          <w:numId w:val="6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A monetary regime change</w:t>
      </w:r>
    </w:p>
    <w:p w14:paraId="26167B55" w14:textId="77777777" w:rsidR="00AF63D3" w:rsidRPr="00643808" w:rsidRDefault="00AF63D3" w:rsidP="00AF63D3">
      <w:pPr>
        <w:pStyle w:val="BodyText"/>
        <w:numPr>
          <w:ilvl w:val="0"/>
          <w:numId w:val="6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A geopolitical realignment</w:t>
      </w:r>
    </w:p>
    <w:p w14:paraId="47864053" w14:textId="77777777" w:rsidR="00AF63D3" w:rsidRPr="00643808" w:rsidRDefault="00AF63D3" w:rsidP="00AF63D3">
      <w:pPr>
        <w:pStyle w:val="BodyText"/>
        <w:numPr>
          <w:ilvl w:val="0"/>
          <w:numId w:val="6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A productivity shock (positive or negative)</w:t>
      </w:r>
    </w:p>
    <w:p w14:paraId="045E7ED5" w14:textId="77777777" w:rsidR="00AF63D3" w:rsidRPr="00643808" w:rsidRDefault="00AF63D3" w:rsidP="00AF63D3">
      <w:pPr>
        <w:pStyle w:val="BodyText"/>
        <w:numPr>
          <w:ilvl w:val="0"/>
          <w:numId w:val="6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A valuation regime shift</w:t>
      </w:r>
    </w:p>
    <w:p w14:paraId="38345A37" w14:textId="77777777" w:rsidR="00AF63D3" w:rsidRPr="00643808" w:rsidRDefault="00AF63D3" w:rsidP="00AF63D3">
      <w:pPr>
        <w:pStyle w:val="BodyText"/>
        <w:numPr>
          <w:ilvl w:val="0"/>
          <w:numId w:val="6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A multi</w:t>
      </w:r>
      <w:r w:rsidRPr="00643808">
        <w:rPr>
          <w:color w:val="EE0000"/>
          <w:lang w:val="en-GB"/>
        </w:rPr>
        <w:noBreakHyphen/>
        <w:t>year inflation cycle</w:t>
      </w:r>
    </w:p>
    <w:p w14:paraId="4B75C998" w14:textId="77777777" w:rsidR="00AF63D3" w:rsidRPr="00643808" w:rsidRDefault="00AF63D3" w:rsidP="00AF63D3">
      <w:pPr>
        <w:pStyle w:val="BodyText"/>
        <w:numPr>
          <w:ilvl w:val="0"/>
          <w:numId w:val="6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A sectoral dominance rotation (e.g., tech, energy, AI)</w:t>
      </w:r>
    </w:p>
    <w:p w14:paraId="00C3AF5A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Each break resets the “mean”.</w:t>
      </w:r>
    </w:p>
    <w:p w14:paraId="6E2ACF15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Effect:</w:t>
      </w:r>
      <w:r w:rsidRPr="00643808">
        <w:rPr>
          <w:color w:val="EE0000"/>
          <w:lang w:val="en-GB"/>
        </w:rPr>
        <w:t xml:space="preserve"> The process behaves like a sequence of drifting regimes, not a single mean</w:t>
      </w:r>
      <w:r w:rsidRPr="00643808">
        <w:rPr>
          <w:color w:val="EE0000"/>
          <w:lang w:val="en-GB"/>
        </w:rPr>
        <w:noBreakHyphen/>
        <w:t>reverting one.</w:t>
      </w:r>
    </w:p>
    <w:p w14:paraId="5F0F16A6" w14:textId="3A0CF555" w:rsidR="00AF63D3" w:rsidRPr="0049752C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49752C">
        <w:rPr>
          <w:b/>
          <w:bCs/>
          <w:color w:val="009999"/>
          <w:sz w:val="28"/>
          <w:szCs w:val="28"/>
          <w:lang w:val="en-GB"/>
        </w:rPr>
        <w:t>Equity risk premia are not stable over 30 years</w:t>
      </w:r>
    </w:p>
    <w:p w14:paraId="60E4C7BA" w14:textId="4DCDF879" w:rsidR="00AF63D3" w:rsidRPr="00643808" w:rsidRDefault="00AF63D3" w:rsidP="00135C73">
      <w:pPr>
        <w:pStyle w:val="BodyText"/>
        <w:spacing w:before="167" w:line="288" w:lineRule="auto"/>
        <w:ind w:left="262" w:right="259"/>
        <w:rPr>
          <w:color w:val="EE0000"/>
          <w:lang w:val="en-GB"/>
        </w:rPr>
      </w:pPr>
      <w:r w:rsidRPr="00643808">
        <w:rPr>
          <w:color w:val="EE0000"/>
          <w:lang w:val="en-GB"/>
        </w:rPr>
        <w:t>ERP is the gravitational centre of long</w:t>
      </w:r>
      <w:r w:rsidRPr="00643808">
        <w:rPr>
          <w:color w:val="EE0000"/>
          <w:lang w:val="en-GB"/>
        </w:rPr>
        <w:noBreakHyphen/>
        <w:t>run returns.</w:t>
      </w:r>
      <w:r w:rsidR="00135C73" w:rsidRPr="00643808">
        <w:rPr>
          <w:color w:val="EE0000"/>
          <w:lang w:val="en-GB"/>
        </w:rPr>
        <w:t xml:space="preserve"> </w:t>
      </w:r>
      <w:r w:rsidRPr="00643808">
        <w:rPr>
          <w:color w:val="EE0000"/>
          <w:lang w:val="en-GB"/>
        </w:rPr>
        <w:t>But ERP itself shifts with:</w:t>
      </w:r>
    </w:p>
    <w:p w14:paraId="43CF1A37" w14:textId="77777777" w:rsidR="00AF63D3" w:rsidRPr="00643808" w:rsidRDefault="00AF63D3" w:rsidP="00AF63D3">
      <w:pPr>
        <w:pStyle w:val="BodyText"/>
        <w:numPr>
          <w:ilvl w:val="0"/>
          <w:numId w:val="7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Real rate regimes</w:t>
      </w:r>
    </w:p>
    <w:p w14:paraId="7B2D7C2E" w14:textId="77777777" w:rsidR="00AF63D3" w:rsidRPr="00643808" w:rsidRDefault="00AF63D3" w:rsidP="00AF63D3">
      <w:pPr>
        <w:pStyle w:val="BodyText"/>
        <w:numPr>
          <w:ilvl w:val="0"/>
          <w:numId w:val="7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Fiscal dominance</w:t>
      </w:r>
    </w:p>
    <w:p w14:paraId="1B01E680" w14:textId="77777777" w:rsidR="00AF63D3" w:rsidRPr="00643808" w:rsidRDefault="00AF63D3" w:rsidP="00AF63D3">
      <w:pPr>
        <w:pStyle w:val="BodyText"/>
        <w:numPr>
          <w:ilvl w:val="0"/>
          <w:numId w:val="7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Global savings glut vs shortage</w:t>
      </w:r>
    </w:p>
    <w:p w14:paraId="32F484A8" w14:textId="77777777" w:rsidR="00AF63D3" w:rsidRPr="00643808" w:rsidRDefault="00AF63D3" w:rsidP="00AF63D3">
      <w:pPr>
        <w:pStyle w:val="BodyText"/>
        <w:numPr>
          <w:ilvl w:val="0"/>
          <w:numId w:val="7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Capital intensity of the economy</w:t>
      </w:r>
    </w:p>
    <w:p w14:paraId="6991F7CC" w14:textId="77777777" w:rsidR="00AF63D3" w:rsidRPr="00643808" w:rsidRDefault="00AF63D3" w:rsidP="00AF63D3">
      <w:pPr>
        <w:pStyle w:val="BodyText"/>
        <w:numPr>
          <w:ilvl w:val="0"/>
          <w:numId w:val="7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Intangibles share of corporate value</w:t>
      </w:r>
    </w:p>
    <w:p w14:paraId="1FDC33FD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Effect:</w:t>
      </w:r>
      <w:r w:rsidRPr="00643808">
        <w:rPr>
          <w:color w:val="EE0000"/>
          <w:lang w:val="en-GB"/>
        </w:rPr>
        <w:t xml:space="preserve"> If the ERP moves, the long</w:t>
      </w:r>
      <w:r w:rsidRPr="00643808">
        <w:rPr>
          <w:color w:val="EE0000"/>
          <w:lang w:val="en-GB"/>
        </w:rPr>
        <w:noBreakHyphen/>
        <w:t>run return mean moves → no reversion.</w:t>
      </w:r>
    </w:p>
    <w:p w14:paraId="249981A5" w14:textId="2F7FBE9C" w:rsidR="00AF63D3" w:rsidRPr="00BF22C9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BF22C9">
        <w:rPr>
          <w:b/>
          <w:bCs/>
          <w:color w:val="009999"/>
          <w:sz w:val="28"/>
          <w:szCs w:val="28"/>
          <w:lang w:val="en-GB"/>
        </w:rPr>
        <w:t>Compounding amplifies small drift differences</w:t>
      </w:r>
    </w:p>
    <w:p w14:paraId="300F59A1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Over 30 years:</w:t>
      </w:r>
    </w:p>
    <w:p w14:paraId="57EE424A" w14:textId="77777777" w:rsidR="00AF63D3" w:rsidRPr="00643808" w:rsidRDefault="00AF63D3" w:rsidP="00AF63D3">
      <w:pPr>
        <w:pStyle w:val="BodyText"/>
        <w:numPr>
          <w:ilvl w:val="0"/>
          <w:numId w:val="8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 xml:space="preserve">A 0.5% change in annual drift = </w:t>
      </w:r>
      <w:r w:rsidRPr="00643808">
        <w:rPr>
          <w:b/>
          <w:bCs/>
          <w:color w:val="EE0000"/>
          <w:lang w:val="en-GB"/>
        </w:rPr>
        <w:t>~15% difference in terminal wealth</w:t>
      </w:r>
    </w:p>
    <w:p w14:paraId="6A71F1B0" w14:textId="77777777" w:rsidR="00AF63D3" w:rsidRPr="00643808" w:rsidRDefault="00AF63D3" w:rsidP="00AF63D3">
      <w:pPr>
        <w:pStyle w:val="BodyText"/>
        <w:numPr>
          <w:ilvl w:val="0"/>
          <w:numId w:val="8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 xml:space="preserve">A 1% change = </w:t>
      </w:r>
      <w:r w:rsidRPr="00643808">
        <w:rPr>
          <w:b/>
          <w:bCs/>
          <w:color w:val="EE0000"/>
          <w:lang w:val="en-GB"/>
        </w:rPr>
        <w:t>~35% difference</w:t>
      </w:r>
    </w:p>
    <w:p w14:paraId="3051E0DA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Small structural shifts swamp cyclical reversion.</w:t>
      </w:r>
    </w:p>
    <w:p w14:paraId="502BE4F5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Effect:</w:t>
      </w:r>
      <w:r w:rsidRPr="00643808">
        <w:rPr>
          <w:color w:val="EE0000"/>
          <w:lang w:val="en-GB"/>
        </w:rPr>
        <w:t xml:space="preserve"> Drift dominates → reversion becomes irrelevant.</w:t>
      </w:r>
    </w:p>
    <w:p w14:paraId="50D39C0D" w14:textId="29E187C7" w:rsidR="00AF63D3" w:rsidRPr="00BF22C9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BF22C9">
        <w:rPr>
          <w:b/>
          <w:bCs/>
          <w:color w:val="009999"/>
          <w:sz w:val="28"/>
          <w:szCs w:val="28"/>
          <w:lang w:val="en-GB"/>
        </w:rPr>
        <w:t>Market microstructure evolves over decades</w:t>
      </w:r>
    </w:p>
    <w:p w14:paraId="61166C92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Over 30 years, the plumbing itself changes:</w:t>
      </w:r>
    </w:p>
    <w:p w14:paraId="345012AD" w14:textId="77777777" w:rsidR="00AF63D3" w:rsidRPr="00643808" w:rsidRDefault="00AF63D3" w:rsidP="00AF63D3">
      <w:pPr>
        <w:pStyle w:val="BodyText"/>
        <w:numPr>
          <w:ilvl w:val="0"/>
          <w:numId w:val="9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lastRenderedPageBreak/>
        <w:t>Rise of passive</w:t>
      </w:r>
    </w:p>
    <w:p w14:paraId="7EE9576D" w14:textId="77777777" w:rsidR="00AF63D3" w:rsidRPr="00643808" w:rsidRDefault="00AF63D3" w:rsidP="00AF63D3">
      <w:pPr>
        <w:pStyle w:val="BodyText"/>
        <w:numPr>
          <w:ilvl w:val="0"/>
          <w:numId w:val="9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Decline of active stock</w:t>
      </w:r>
      <w:r w:rsidRPr="00643808">
        <w:rPr>
          <w:color w:val="EE0000"/>
          <w:lang w:val="en-GB"/>
        </w:rPr>
        <w:noBreakHyphen/>
        <w:t>picking</w:t>
      </w:r>
    </w:p>
    <w:p w14:paraId="58CBF5F8" w14:textId="77777777" w:rsidR="00AF63D3" w:rsidRPr="00643808" w:rsidRDefault="00AF63D3" w:rsidP="00AF63D3">
      <w:pPr>
        <w:pStyle w:val="BodyText"/>
        <w:numPr>
          <w:ilvl w:val="0"/>
          <w:numId w:val="9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Options market growth</w:t>
      </w:r>
    </w:p>
    <w:p w14:paraId="23A81139" w14:textId="77777777" w:rsidR="00AF63D3" w:rsidRPr="00643808" w:rsidRDefault="00AF63D3" w:rsidP="00AF63D3">
      <w:pPr>
        <w:pStyle w:val="BodyText"/>
        <w:numPr>
          <w:ilvl w:val="0"/>
          <w:numId w:val="9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Dealer gamma dynamics</w:t>
      </w:r>
    </w:p>
    <w:p w14:paraId="01A9814A" w14:textId="77777777" w:rsidR="00AF63D3" w:rsidRPr="00643808" w:rsidRDefault="00AF63D3" w:rsidP="00AF63D3">
      <w:pPr>
        <w:pStyle w:val="BodyText"/>
        <w:numPr>
          <w:ilvl w:val="0"/>
          <w:numId w:val="9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ETF ecosystem</w:t>
      </w:r>
    </w:p>
    <w:p w14:paraId="5ED1B598" w14:textId="77777777" w:rsidR="00AF63D3" w:rsidRPr="00643808" w:rsidRDefault="00AF63D3" w:rsidP="00AF63D3">
      <w:pPr>
        <w:pStyle w:val="BodyText"/>
        <w:numPr>
          <w:ilvl w:val="0"/>
          <w:numId w:val="9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HFT liquidity regimes</w:t>
      </w:r>
    </w:p>
    <w:p w14:paraId="2E306D86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 xml:space="preserve">These changes alter the </w:t>
      </w:r>
      <w:r w:rsidRPr="00643808">
        <w:rPr>
          <w:i/>
          <w:iCs/>
          <w:color w:val="EE0000"/>
          <w:lang w:val="en-GB"/>
        </w:rPr>
        <w:t>shape</w:t>
      </w:r>
      <w:r w:rsidRPr="00643808">
        <w:rPr>
          <w:color w:val="EE0000"/>
          <w:lang w:val="en-GB"/>
        </w:rPr>
        <w:t xml:space="preserve"> of return distributions.</w:t>
      </w:r>
    </w:p>
    <w:p w14:paraId="12E682CD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Effect:</w:t>
      </w:r>
      <w:r w:rsidRPr="00643808">
        <w:rPr>
          <w:color w:val="EE0000"/>
          <w:lang w:val="en-GB"/>
        </w:rPr>
        <w:t xml:space="preserve"> The statistical properties of returns are not constant → mean reversion assumptions break.</w:t>
      </w:r>
    </w:p>
    <w:p w14:paraId="70C9162F" w14:textId="120C1DAC" w:rsidR="00AF63D3" w:rsidRPr="00BF5AB9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BF5AB9">
        <w:rPr>
          <w:b/>
          <w:bCs/>
          <w:color w:val="009999"/>
          <w:sz w:val="28"/>
          <w:szCs w:val="28"/>
          <w:lang w:val="en-GB"/>
        </w:rPr>
        <w:t>Narrative regimes persist for decades</w:t>
      </w:r>
    </w:p>
    <w:p w14:paraId="6D650C6C" w14:textId="0CCD38ED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Narratives are not short</w:t>
      </w:r>
      <w:r w:rsidRPr="00643808">
        <w:rPr>
          <w:color w:val="EE0000"/>
          <w:lang w:val="en-GB"/>
        </w:rPr>
        <w:noBreakHyphen/>
        <w:t>term noise — they can last 10 years:</w:t>
      </w:r>
    </w:p>
    <w:p w14:paraId="589A751B" w14:textId="77777777" w:rsidR="00AF63D3" w:rsidRPr="00643808" w:rsidRDefault="00AF63D3" w:rsidP="00AF63D3">
      <w:pPr>
        <w:pStyle w:val="BodyText"/>
        <w:numPr>
          <w:ilvl w:val="0"/>
          <w:numId w:val="10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“Lower for longer”</w:t>
      </w:r>
    </w:p>
    <w:p w14:paraId="388B7FF9" w14:textId="77777777" w:rsidR="00AF63D3" w:rsidRPr="00643808" w:rsidRDefault="00AF63D3" w:rsidP="00AF63D3">
      <w:pPr>
        <w:pStyle w:val="BodyText"/>
        <w:numPr>
          <w:ilvl w:val="0"/>
          <w:numId w:val="10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“Tech dominance”</w:t>
      </w:r>
    </w:p>
    <w:p w14:paraId="5AB95443" w14:textId="77777777" w:rsidR="00AF63D3" w:rsidRPr="00643808" w:rsidRDefault="00AF63D3" w:rsidP="00AF63D3">
      <w:pPr>
        <w:pStyle w:val="BodyText"/>
        <w:numPr>
          <w:ilvl w:val="0"/>
          <w:numId w:val="10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“AI productivity boom”</w:t>
      </w:r>
    </w:p>
    <w:p w14:paraId="12E28242" w14:textId="77777777" w:rsidR="00AF63D3" w:rsidRPr="00643808" w:rsidRDefault="00AF63D3" w:rsidP="00AF63D3">
      <w:pPr>
        <w:pStyle w:val="BodyText"/>
        <w:numPr>
          <w:ilvl w:val="0"/>
          <w:numId w:val="10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“Energy transition”</w:t>
      </w:r>
    </w:p>
    <w:p w14:paraId="16ABD161" w14:textId="77777777" w:rsidR="00AF63D3" w:rsidRPr="00643808" w:rsidRDefault="00AF63D3" w:rsidP="00AF63D3">
      <w:pPr>
        <w:pStyle w:val="BodyText"/>
        <w:numPr>
          <w:ilvl w:val="0"/>
          <w:numId w:val="10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“De</w:t>
      </w:r>
      <w:r w:rsidRPr="00643808">
        <w:rPr>
          <w:color w:val="EE0000"/>
          <w:lang w:val="en-GB"/>
        </w:rPr>
        <w:noBreakHyphen/>
        <w:t>globalisation”</w:t>
      </w:r>
    </w:p>
    <w:p w14:paraId="588C40F1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 xml:space="preserve">Narratives create </w:t>
      </w:r>
      <w:r w:rsidRPr="00643808">
        <w:rPr>
          <w:b/>
          <w:bCs/>
          <w:color w:val="EE0000"/>
          <w:lang w:val="en-GB"/>
        </w:rPr>
        <w:t>trend persistence</w:t>
      </w:r>
      <w:r w:rsidRPr="00643808">
        <w:rPr>
          <w:color w:val="EE0000"/>
          <w:lang w:val="en-GB"/>
        </w:rPr>
        <w:t>, not reversion.</w:t>
      </w:r>
    </w:p>
    <w:p w14:paraId="127AA2AB" w14:textId="14BD100B" w:rsidR="00AF63D3" w:rsidRPr="008763EC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8763EC">
        <w:rPr>
          <w:b/>
          <w:bCs/>
          <w:color w:val="009999"/>
          <w:sz w:val="28"/>
          <w:szCs w:val="28"/>
          <w:lang w:val="en-GB"/>
        </w:rPr>
        <w:t>Over 30 years, valuation reversion is weak and slow</w:t>
      </w:r>
    </w:p>
    <w:p w14:paraId="2A3C3A32" w14:textId="77777777" w:rsidR="00643808" w:rsidRDefault="00AF63D3" w:rsidP="00643808">
      <w:pPr>
        <w:pStyle w:val="BodyText"/>
        <w:spacing w:before="167" w:line="288" w:lineRule="auto"/>
        <w:ind w:left="262" w:right="259"/>
        <w:rPr>
          <w:color w:val="EE0000"/>
          <w:lang w:val="en-GB"/>
        </w:rPr>
      </w:pPr>
      <w:r w:rsidRPr="00643808">
        <w:rPr>
          <w:color w:val="EE0000"/>
          <w:lang w:val="en-GB"/>
        </w:rPr>
        <w:t>Valuation mean reversion is the strongest long</w:t>
      </w:r>
      <w:r w:rsidRPr="00643808">
        <w:rPr>
          <w:color w:val="EE0000"/>
          <w:lang w:val="en-GB"/>
        </w:rPr>
        <w:noBreakHyphen/>
        <w:t>run anchor.</w:t>
      </w:r>
      <w:r w:rsidRPr="00643808">
        <w:rPr>
          <w:color w:val="EE0000"/>
          <w:lang w:val="en-GB"/>
        </w:rPr>
        <w:br/>
      </w:r>
    </w:p>
    <w:p w14:paraId="05BF2309" w14:textId="227CD676" w:rsidR="00AF63D3" w:rsidRPr="00643808" w:rsidRDefault="00AF63D3" w:rsidP="00643808">
      <w:pPr>
        <w:pStyle w:val="BodyText"/>
        <w:spacing w:before="167" w:line="288" w:lineRule="auto"/>
        <w:ind w:left="262" w:right="259"/>
        <w:rPr>
          <w:color w:val="EE0000"/>
          <w:lang w:val="en-GB"/>
        </w:rPr>
      </w:pPr>
      <w:r w:rsidRPr="00643808">
        <w:rPr>
          <w:color w:val="EE0000"/>
          <w:lang w:val="en-GB"/>
        </w:rPr>
        <w:t>But even this weakens over 30 years because:</w:t>
      </w:r>
    </w:p>
    <w:p w14:paraId="10AFCA7E" w14:textId="77777777" w:rsidR="00AF63D3" w:rsidRPr="00643808" w:rsidRDefault="00AF63D3" w:rsidP="00AF63D3">
      <w:pPr>
        <w:pStyle w:val="BodyText"/>
        <w:numPr>
          <w:ilvl w:val="0"/>
          <w:numId w:val="11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Intangibles distort valuation metrics</w:t>
      </w:r>
    </w:p>
    <w:p w14:paraId="42F7FC6B" w14:textId="77777777" w:rsidR="00AF63D3" w:rsidRPr="00643808" w:rsidRDefault="00AF63D3" w:rsidP="00AF63D3">
      <w:pPr>
        <w:pStyle w:val="BodyText"/>
        <w:numPr>
          <w:ilvl w:val="0"/>
          <w:numId w:val="11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Sector concentration changes the index</w:t>
      </w:r>
    </w:p>
    <w:p w14:paraId="3E9B7B00" w14:textId="77777777" w:rsidR="00AF63D3" w:rsidRPr="00643808" w:rsidRDefault="00AF63D3" w:rsidP="00AF63D3">
      <w:pPr>
        <w:pStyle w:val="BodyText"/>
        <w:numPr>
          <w:ilvl w:val="0"/>
          <w:numId w:val="11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Accounting regimes evolve</w:t>
      </w:r>
    </w:p>
    <w:p w14:paraId="6DCA7894" w14:textId="77777777" w:rsidR="00AF63D3" w:rsidRPr="00643808" w:rsidRDefault="00AF63D3" w:rsidP="00AF63D3">
      <w:pPr>
        <w:pStyle w:val="BodyText"/>
        <w:numPr>
          <w:ilvl w:val="0"/>
          <w:numId w:val="11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Discount rates shift structurally</w:t>
      </w:r>
    </w:p>
    <w:p w14:paraId="0B80ADD8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Effect:</w:t>
      </w:r>
      <w:r w:rsidRPr="00643808">
        <w:rPr>
          <w:color w:val="EE0000"/>
          <w:lang w:val="en-GB"/>
        </w:rPr>
        <w:t xml:space="preserve"> The valuation anchor becomes fuzzy → weaker reversion.</w:t>
      </w:r>
    </w:p>
    <w:p w14:paraId="4791C3AB" w14:textId="5E4B7DD6" w:rsidR="00AF63D3" w:rsidRPr="008763EC" w:rsidRDefault="00AF63D3" w:rsidP="00AF63D3">
      <w:pPr>
        <w:pStyle w:val="BodyText"/>
        <w:spacing w:before="167" w:line="288" w:lineRule="auto"/>
        <w:ind w:left="262"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8763EC">
        <w:rPr>
          <w:b/>
          <w:bCs/>
          <w:color w:val="009999"/>
          <w:sz w:val="28"/>
          <w:szCs w:val="28"/>
          <w:lang w:val="en-GB"/>
        </w:rPr>
        <w:t xml:space="preserve">Synthesis for </w:t>
      </w:r>
      <w:r w:rsidR="0040666C">
        <w:rPr>
          <w:b/>
          <w:bCs/>
          <w:color w:val="009999"/>
          <w:sz w:val="28"/>
          <w:szCs w:val="28"/>
          <w:lang w:val="en-GB"/>
        </w:rPr>
        <w:t>the EPM</w:t>
      </w:r>
      <w:r w:rsidRPr="008763EC">
        <w:rPr>
          <w:b/>
          <w:bCs/>
          <w:color w:val="009999"/>
          <w:sz w:val="28"/>
          <w:szCs w:val="28"/>
          <w:lang w:val="en-GB"/>
        </w:rPr>
        <w:t xml:space="preserve"> 30</w:t>
      </w:r>
      <w:r w:rsidRPr="008763EC">
        <w:rPr>
          <w:b/>
          <w:bCs/>
          <w:color w:val="009999"/>
          <w:sz w:val="28"/>
          <w:szCs w:val="28"/>
          <w:lang w:val="en-GB"/>
        </w:rPr>
        <w:noBreakHyphen/>
        <w:t xml:space="preserve">year S&amp;P </w:t>
      </w:r>
      <w:r w:rsidR="0040666C">
        <w:rPr>
          <w:b/>
          <w:bCs/>
          <w:color w:val="009999"/>
          <w:sz w:val="28"/>
          <w:szCs w:val="28"/>
          <w:lang w:val="en-GB"/>
        </w:rPr>
        <w:t xml:space="preserve">Index </w:t>
      </w:r>
      <w:r w:rsidRPr="008763EC">
        <w:rPr>
          <w:b/>
          <w:bCs/>
          <w:color w:val="009999"/>
          <w:sz w:val="28"/>
          <w:szCs w:val="28"/>
          <w:lang w:val="en-GB"/>
        </w:rPr>
        <w:t>engine</w:t>
      </w:r>
    </w:p>
    <w:p w14:paraId="3E0C620B" w14:textId="77777777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For a 30</w:t>
      </w:r>
      <w:r w:rsidRPr="00643808">
        <w:rPr>
          <w:color w:val="EE0000"/>
          <w:lang w:val="en-GB"/>
        </w:rPr>
        <w:noBreakHyphen/>
        <w:t xml:space="preserve">year horizon, the </w:t>
      </w:r>
      <w:r w:rsidRPr="00643808">
        <w:rPr>
          <w:b/>
          <w:bCs/>
          <w:color w:val="EE0000"/>
          <w:lang w:val="en-GB"/>
        </w:rPr>
        <w:t>three dominant forces that make equities less mean</w:t>
      </w:r>
      <w:r w:rsidRPr="00643808">
        <w:rPr>
          <w:b/>
          <w:bCs/>
          <w:color w:val="EE0000"/>
          <w:lang w:val="en-GB"/>
        </w:rPr>
        <w:noBreakHyphen/>
        <w:t>reverting</w:t>
      </w:r>
      <w:r w:rsidRPr="00643808">
        <w:rPr>
          <w:color w:val="EE0000"/>
          <w:lang w:val="en-GB"/>
        </w:rPr>
        <w:t xml:space="preserve"> are:</w:t>
      </w:r>
    </w:p>
    <w:p w14:paraId="7C1A218D" w14:textId="77777777" w:rsidR="00AF63D3" w:rsidRPr="00643808" w:rsidRDefault="00AF63D3" w:rsidP="00AF63D3">
      <w:pPr>
        <w:pStyle w:val="BodyText"/>
        <w:numPr>
          <w:ilvl w:val="0"/>
          <w:numId w:val="12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Non</w:t>
      </w:r>
      <w:r w:rsidRPr="00643808">
        <w:rPr>
          <w:b/>
          <w:bCs/>
          <w:color w:val="EE0000"/>
          <w:lang w:val="en-GB"/>
        </w:rPr>
        <w:noBreakHyphen/>
        <w:t>stationary drift</w:t>
      </w:r>
      <w:r w:rsidRPr="00643808">
        <w:rPr>
          <w:color w:val="EE0000"/>
          <w:lang w:val="en-GB"/>
        </w:rPr>
        <w:t xml:space="preserve"> (moving mean)</w:t>
      </w:r>
    </w:p>
    <w:p w14:paraId="11860B19" w14:textId="77777777" w:rsidR="00AF63D3" w:rsidRPr="00643808" w:rsidRDefault="00AF63D3" w:rsidP="00AF63D3">
      <w:pPr>
        <w:pStyle w:val="BodyText"/>
        <w:numPr>
          <w:ilvl w:val="0"/>
          <w:numId w:val="12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Structural regime shifts</w:t>
      </w:r>
      <w:r w:rsidRPr="00643808">
        <w:rPr>
          <w:color w:val="EE0000"/>
          <w:lang w:val="en-GB"/>
        </w:rPr>
        <w:t xml:space="preserve"> (breaks in the process)</w:t>
      </w:r>
    </w:p>
    <w:p w14:paraId="5E646EB5" w14:textId="77777777" w:rsidR="00AF63D3" w:rsidRPr="00643808" w:rsidRDefault="00AF63D3" w:rsidP="00AF63D3">
      <w:pPr>
        <w:pStyle w:val="BodyText"/>
        <w:numPr>
          <w:ilvl w:val="0"/>
          <w:numId w:val="12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Drift uncertainty dominating volatility</w:t>
      </w:r>
      <w:r w:rsidRPr="00643808">
        <w:rPr>
          <w:color w:val="EE0000"/>
          <w:lang w:val="en-GB"/>
        </w:rPr>
        <w:t xml:space="preserve"> (compounding effect)</w:t>
      </w:r>
    </w:p>
    <w:p w14:paraId="4DF81189" w14:textId="0876C5B9" w:rsidR="00AF63D3" w:rsidRPr="00643808" w:rsidRDefault="00AF63D3" w:rsidP="00AF63D3">
      <w:pPr>
        <w:pStyle w:val="BodyText"/>
        <w:spacing w:before="167" w:line="288" w:lineRule="auto"/>
        <w:ind w:left="262"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This is why long</w:t>
      </w:r>
      <w:r w:rsidRPr="00643808">
        <w:rPr>
          <w:color w:val="EE0000"/>
          <w:lang w:val="en-GB"/>
        </w:rPr>
        <w:noBreakHyphen/>
        <w:t xml:space="preserve">horizon modelling for </w:t>
      </w:r>
      <w:r w:rsidR="00122F8B" w:rsidRPr="00643808">
        <w:rPr>
          <w:color w:val="EE0000"/>
          <w:lang w:val="en-GB"/>
        </w:rPr>
        <w:t>the EPM</w:t>
      </w:r>
      <w:r w:rsidRPr="00643808">
        <w:rPr>
          <w:color w:val="EE0000"/>
          <w:lang w:val="en-GB"/>
        </w:rPr>
        <w:t xml:space="preserve"> should treat equities as:</w:t>
      </w:r>
    </w:p>
    <w:p w14:paraId="40C5914E" w14:textId="77777777" w:rsidR="00AF63D3" w:rsidRPr="00643808" w:rsidRDefault="00AF63D3" w:rsidP="00AF63D3">
      <w:pPr>
        <w:pStyle w:val="BodyText"/>
        <w:numPr>
          <w:ilvl w:val="0"/>
          <w:numId w:val="13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GBM with stochastic drift,</w:t>
      </w:r>
    </w:p>
    <w:p w14:paraId="766443AF" w14:textId="77777777" w:rsidR="00AF63D3" w:rsidRPr="00643808" w:rsidRDefault="00AF63D3" w:rsidP="00AF63D3">
      <w:pPr>
        <w:pStyle w:val="BodyText"/>
        <w:numPr>
          <w:ilvl w:val="0"/>
          <w:numId w:val="13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lastRenderedPageBreak/>
        <w:t>stochastic volatility,</w:t>
      </w:r>
    </w:p>
    <w:p w14:paraId="7F85956B" w14:textId="48BAC251" w:rsidR="00AF63D3" w:rsidRPr="00643808" w:rsidRDefault="00AF63D3" w:rsidP="00AF63D3">
      <w:pPr>
        <w:pStyle w:val="BodyText"/>
        <w:numPr>
          <w:ilvl w:val="0"/>
          <w:numId w:val="13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regime</w:t>
      </w:r>
      <w:r w:rsidRPr="00643808">
        <w:rPr>
          <w:color w:val="EE0000"/>
          <w:lang w:val="en-GB"/>
        </w:rPr>
        <w:noBreakHyphen/>
        <w:t>switching</w:t>
      </w:r>
      <w:r w:rsidR="00700655" w:rsidRPr="00643808">
        <w:rPr>
          <w:color w:val="EE0000"/>
          <w:lang w:val="en-GB"/>
        </w:rPr>
        <w:t xml:space="preserve"> (if data is available)</w:t>
      </w:r>
    </w:p>
    <w:p w14:paraId="42C22C06" w14:textId="77777777" w:rsidR="00AF63D3" w:rsidRPr="00643808" w:rsidRDefault="00AF63D3" w:rsidP="00AF63D3">
      <w:pPr>
        <w:pStyle w:val="BodyText"/>
        <w:numPr>
          <w:ilvl w:val="0"/>
          <w:numId w:val="13"/>
        </w:numPr>
        <w:spacing w:before="167" w:line="288" w:lineRule="auto"/>
        <w:ind w:right="259"/>
        <w:jc w:val="both"/>
        <w:rPr>
          <w:color w:val="EE0000"/>
          <w:lang w:val="en-GB"/>
        </w:rPr>
      </w:pPr>
      <w:r w:rsidRPr="00643808">
        <w:rPr>
          <w:color w:val="EE0000"/>
          <w:lang w:val="en-GB"/>
        </w:rPr>
        <w:t>weak or no mean reversion in returns.</w:t>
      </w:r>
    </w:p>
    <w:p w14:paraId="08911200" w14:textId="4AE43A54" w:rsidR="001B568C" w:rsidRPr="00700655" w:rsidRDefault="001B568C" w:rsidP="001B568C">
      <w:pPr>
        <w:pStyle w:val="BodyText"/>
        <w:spacing w:before="167" w:line="288" w:lineRule="auto"/>
        <w:ind w:right="259"/>
        <w:jc w:val="both"/>
        <w:rPr>
          <w:b/>
          <w:bCs/>
          <w:color w:val="009999"/>
          <w:sz w:val="28"/>
          <w:szCs w:val="28"/>
          <w:lang w:val="en-GB"/>
        </w:rPr>
      </w:pPr>
      <w:r w:rsidRPr="00700655">
        <w:rPr>
          <w:b/>
          <w:bCs/>
          <w:color w:val="009999"/>
          <w:sz w:val="28"/>
          <w:szCs w:val="28"/>
          <w:lang w:val="en-GB"/>
        </w:rPr>
        <w:t>Stock</w:t>
      </w:r>
      <w:r w:rsidRPr="00700655">
        <w:rPr>
          <w:b/>
          <w:bCs/>
          <w:color w:val="009999"/>
          <w:sz w:val="28"/>
          <w:szCs w:val="28"/>
          <w:lang w:val="en-GB"/>
        </w:rPr>
        <w:noBreakHyphen/>
        <w:t>Level vs Index</w:t>
      </w:r>
      <w:r w:rsidRPr="00700655">
        <w:rPr>
          <w:b/>
          <w:bCs/>
          <w:color w:val="009999"/>
          <w:sz w:val="28"/>
          <w:szCs w:val="28"/>
          <w:lang w:val="en-GB"/>
        </w:rPr>
        <w:noBreakHyphen/>
        <w:t>Level Mean Reversion</w:t>
      </w:r>
    </w:p>
    <w:p w14:paraId="406C383B" w14:textId="77777777" w:rsidR="001B568C" w:rsidRPr="00643808" w:rsidRDefault="001B568C" w:rsidP="001B568C">
      <w:pPr>
        <w:pStyle w:val="BodyText"/>
        <w:spacing w:before="167" w:line="288" w:lineRule="auto"/>
        <w:ind w:right="259"/>
        <w:jc w:val="both"/>
        <w:rPr>
          <w:b/>
          <w:bCs/>
          <w:color w:val="EE0000"/>
          <w:lang w:val="en-GB"/>
        </w:rPr>
      </w:pPr>
      <w:r w:rsidRPr="00643808">
        <w:rPr>
          <w:b/>
          <w:bCs/>
          <w:color w:val="EE0000"/>
          <w:lang w:val="en-GB"/>
        </w:rPr>
        <w:t>Implications for 30</w:t>
      </w:r>
      <w:r w:rsidRPr="00643808">
        <w:rPr>
          <w:b/>
          <w:bCs/>
          <w:color w:val="EE0000"/>
          <w:lang w:val="en-GB"/>
        </w:rPr>
        <w:noBreakHyphen/>
        <w:t>Year Modelling &amp; Hedging</w:t>
      </w:r>
    </w:p>
    <w:p w14:paraId="7C51BA10" w14:textId="77777777" w:rsidR="00F525C4" w:rsidRPr="00643808" w:rsidRDefault="00F525C4" w:rsidP="00F525C4">
      <w:pPr>
        <w:pStyle w:val="BodyText"/>
        <w:spacing w:before="167" w:line="288" w:lineRule="auto"/>
        <w:ind w:right="259"/>
        <w:jc w:val="both"/>
        <w:rPr>
          <w:color w:val="EE0000"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162"/>
        <w:gridCol w:w="2567"/>
        <w:gridCol w:w="2795"/>
      </w:tblGrid>
      <w:tr w:rsidR="00643808" w:rsidRPr="00643808" w14:paraId="3C33E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2E3A5" w14:textId="77777777" w:rsidR="00F525C4" w:rsidRPr="00643808" w:rsidRDefault="00F525C4" w:rsidP="00F525C4">
            <w:pPr>
              <w:pStyle w:val="BodyText"/>
              <w:spacing w:before="61"/>
              <w:rPr>
                <w:b/>
                <w:bCs/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40403AA" w14:textId="77777777" w:rsidR="00F525C4" w:rsidRPr="00643808" w:rsidRDefault="00F525C4" w:rsidP="00F525C4">
            <w:pPr>
              <w:pStyle w:val="BodyText"/>
              <w:spacing w:before="61"/>
              <w:rPr>
                <w:b/>
                <w:bCs/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Individual Stocks</w:t>
            </w:r>
          </w:p>
        </w:tc>
        <w:tc>
          <w:tcPr>
            <w:tcW w:w="0" w:type="auto"/>
            <w:vAlign w:val="center"/>
            <w:hideMark/>
          </w:tcPr>
          <w:p w14:paraId="490D589D" w14:textId="77777777" w:rsidR="00F525C4" w:rsidRPr="00643808" w:rsidRDefault="00F525C4" w:rsidP="00F525C4">
            <w:pPr>
              <w:pStyle w:val="BodyText"/>
              <w:spacing w:before="61"/>
              <w:rPr>
                <w:b/>
                <w:bCs/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Index (S&amp;P 500)</w:t>
            </w:r>
          </w:p>
        </w:tc>
        <w:tc>
          <w:tcPr>
            <w:tcW w:w="0" w:type="auto"/>
            <w:vAlign w:val="center"/>
            <w:hideMark/>
          </w:tcPr>
          <w:p w14:paraId="200D604B" w14:textId="77777777" w:rsidR="00F525C4" w:rsidRPr="00643808" w:rsidRDefault="00F525C4" w:rsidP="00F525C4">
            <w:pPr>
              <w:pStyle w:val="BodyText"/>
              <w:spacing w:before="61"/>
              <w:rPr>
                <w:b/>
                <w:bCs/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Implication for 30</w:t>
            </w:r>
            <w:r w:rsidRPr="00643808">
              <w:rPr>
                <w:b/>
                <w:bCs/>
                <w:color w:val="EE0000"/>
                <w:lang w:val="en-GB"/>
              </w:rPr>
              <w:noBreakHyphen/>
              <w:t>Year Modelling</w:t>
            </w:r>
          </w:p>
        </w:tc>
      </w:tr>
      <w:tr w:rsidR="00643808" w:rsidRPr="00643808" w14:paraId="6AC2C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A7ED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Valuation anchor (P/E, ROIC, margins)</w:t>
            </w:r>
          </w:p>
        </w:tc>
        <w:tc>
          <w:tcPr>
            <w:tcW w:w="0" w:type="auto"/>
            <w:vAlign w:val="center"/>
            <w:hideMark/>
          </w:tcPr>
          <w:p w14:paraId="6B01FC0C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Strong anchor; fundamentals pull valuations back</w:t>
            </w:r>
          </w:p>
        </w:tc>
        <w:tc>
          <w:tcPr>
            <w:tcW w:w="0" w:type="auto"/>
            <w:vAlign w:val="center"/>
            <w:hideMark/>
          </w:tcPr>
          <w:p w14:paraId="462F471A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Weak/unstable anchor; sector mix &amp; margins drift</w:t>
            </w:r>
          </w:p>
        </w:tc>
        <w:tc>
          <w:tcPr>
            <w:tcW w:w="0" w:type="auto"/>
            <w:vAlign w:val="center"/>
            <w:hideMark/>
          </w:tcPr>
          <w:p w14:paraId="1EC79C45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Index mean reversion is weak because the anchor moves</w:t>
            </w:r>
          </w:p>
        </w:tc>
      </w:tr>
      <w:tr w:rsidR="00643808" w:rsidRPr="00643808" w14:paraId="350B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4AF3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Mean reversion strength</w:t>
            </w:r>
          </w:p>
        </w:tc>
        <w:tc>
          <w:tcPr>
            <w:tcW w:w="0" w:type="auto"/>
            <w:vAlign w:val="center"/>
            <w:hideMark/>
          </w:tcPr>
          <w:p w14:paraId="51D227B0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High (value vs growth, profitability cycles)</w:t>
            </w:r>
          </w:p>
        </w:tc>
        <w:tc>
          <w:tcPr>
            <w:tcW w:w="0" w:type="auto"/>
            <w:vAlign w:val="center"/>
            <w:hideMark/>
          </w:tcPr>
          <w:p w14:paraId="06497BDC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Low; dominated by winners’ compounding</w:t>
            </w:r>
          </w:p>
        </w:tc>
        <w:tc>
          <w:tcPr>
            <w:tcW w:w="0" w:type="auto"/>
            <w:vAlign w:val="center"/>
            <w:hideMark/>
          </w:tcPr>
          <w:p w14:paraId="4C215022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OU</w:t>
            </w:r>
            <w:r w:rsidRPr="00643808">
              <w:rPr>
                <w:color w:val="EE0000"/>
                <w:lang w:val="en-GB"/>
              </w:rPr>
              <w:noBreakHyphen/>
              <w:t>type modelling inappropriate for index returns</w:t>
            </w:r>
          </w:p>
        </w:tc>
      </w:tr>
      <w:tr w:rsidR="00643808" w:rsidRPr="00643808" w14:paraId="156AE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29F1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Constituent turnover</w:t>
            </w:r>
          </w:p>
        </w:tc>
        <w:tc>
          <w:tcPr>
            <w:tcW w:w="0" w:type="auto"/>
            <w:vAlign w:val="center"/>
            <w:hideMark/>
          </w:tcPr>
          <w:p w14:paraId="67AEC3D0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69AE46B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Continuous: losers drop out, winners scale</w:t>
            </w:r>
          </w:p>
        </w:tc>
        <w:tc>
          <w:tcPr>
            <w:tcW w:w="0" w:type="auto"/>
            <w:vAlign w:val="center"/>
            <w:hideMark/>
          </w:tcPr>
          <w:p w14:paraId="6F39BF40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Index behaves like a self</w:t>
            </w:r>
            <w:r w:rsidRPr="00643808">
              <w:rPr>
                <w:color w:val="EE0000"/>
                <w:lang w:val="en-GB"/>
              </w:rPr>
              <w:noBreakHyphen/>
              <w:t>optimising portfolio, not a mean</w:t>
            </w:r>
            <w:r w:rsidRPr="00643808">
              <w:rPr>
                <w:color w:val="EE0000"/>
                <w:lang w:val="en-GB"/>
              </w:rPr>
              <w:noBreakHyphen/>
              <w:t>reverting asset</w:t>
            </w:r>
          </w:p>
        </w:tc>
      </w:tr>
      <w:tr w:rsidR="00643808" w:rsidRPr="00643808" w14:paraId="30B55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874F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Sector composition</w:t>
            </w:r>
          </w:p>
        </w:tc>
        <w:tc>
          <w:tcPr>
            <w:tcW w:w="0" w:type="auto"/>
            <w:vAlign w:val="center"/>
            <w:hideMark/>
          </w:tcPr>
          <w:p w14:paraId="3109B445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Fixed for each stock</w:t>
            </w:r>
          </w:p>
        </w:tc>
        <w:tc>
          <w:tcPr>
            <w:tcW w:w="0" w:type="auto"/>
            <w:vAlign w:val="center"/>
            <w:hideMark/>
          </w:tcPr>
          <w:p w14:paraId="5C559B59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Shifts structurally (tech → AI → whatever’s next)</w:t>
            </w:r>
          </w:p>
        </w:tc>
        <w:tc>
          <w:tcPr>
            <w:tcW w:w="0" w:type="auto"/>
            <w:vAlign w:val="center"/>
            <w:hideMark/>
          </w:tcPr>
          <w:p w14:paraId="5B358ED4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Long</w:t>
            </w:r>
            <w:r w:rsidRPr="00643808">
              <w:rPr>
                <w:color w:val="EE0000"/>
                <w:lang w:val="en-GB"/>
              </w:rPr>
              <w:noBreakHyphen/>
              <w:t>run “mean” is non</w:t>
            </w:r>
            <w:r w:rsidRPr="00643808">
              <w:rPr>
                <w:color w:val="EE0000"/>
                <w:lang w:val="en-GB"/>
              </w:rPr>
              <w:noBreakHyphen/>
              <w:t>stationary</w:t>
            </w:r>
          </w:p>
        </w:tc>
      </w:tr>
      <w:tr w:rsidR="00643808" w:rsidRPr="00643808" w14:paraId="292D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5592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Survivorship bias</w:t>
            </w:r>
          </w:p>
        </w:tc>
        <w:tc>
          <w:tcPr>
            <w:tcW w:w="0" w:type="auto"/>
            <w:vAlign w:val="center"/>
            <w:hideMark/>
          </w:tcPr>
          <w:p w14:paraId="7C2491D6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21FBA9BE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Built</w:t>
            </w:r>
            <w:r w:rsidRPr="00643808">
              <w:rPr>
                <w:color w:val="EE0000"/>
                <w:lang w:val="en-GB"/>
              </w:rPr>
              <w:noBreakHyphen/>
              <w:t>in: index retains winners</w:t>
            </w:r>
          </w:p>
        </w:tc>
        <w:tc>
          <w:tcPr>
            <w:tcW w:w="0" w:type="auto"/>
            <w:vAlign w:val="center"/>
            <w:hideMark/>
          </w:tcPr>
          <w:p w14:paraId="4EABA02F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Index drifts upward structurally → GBM</w:t>
            </w:r>
            <w:r w:rsidRPr="00643808">
              <w:rPr>
                <w:color w:val="EE0000"/>
                <w:lang w:val="en-GB"/>
              </w:rPr>
              <w:noBreakHyphen/>
              <w:t>like</w:t>
            </w:r>
          </w:p>
        </w:tc>
      </w:tr>
      <w:tr w:rsidR="00643808" w:rsidRPr="00643808" w14:paraId="142F5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5CF2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Impact of fundamentals</w:t>
            </w:r>
          </w:p>
        </w:tc>
        <w:tc>
          <w:tcPr>
            <w:tcW w:w="0" w:type="auto"/>
            <w:vAlign w:val="center"/>
            <w:hideMark/>
          </w:tcPr>
          <w:p w14:paraId="5C207AD7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Strong: margins, growth, ROIC revert</w:t>
            </w:r>
          </w:p>
        </w:tc>
        <w:tc>
          <w:tcPr>
            <w:tcW w:w="0" w:type="auto"/>
            <w:vAlign w:val="center"/>
            <w:hideMark/>
          </w:tcPr>
          <w:p w14:paraId="65157C85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Weak: aggregate margins can stay elevated for decades</w:t>
            </w:r>
          </w:p>
        </w:tc>
        <w:tc>
          <w:tcPr>
            <w:tcW w:w="0" w:type="auto"/>
            <w:vAlign w:val="center"/>
            <w:hideMark/>
          </w:tcPr>
          <w:p w14:paraId="0456E22C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Valuation cycles matter tactically, not over 30 years</w:t>
            </w:r>
          </w:p>
        </w:tc>
      </w:tr>
      <w:tr w:rsidR="00643808" w:rsidRPr="00643808" w14:paraId="13E5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01D5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Shock behaviour</w:t>
            </w:r>
          </w:p>
        </w:tc>
        <w:tc>
          <w:tcPr>
            <w:tcW w:w="0" w:type="auto"/>
            <w:vAlign w:val="center"/>
            <w:hideMark/>
          </w:tcPr>
          <w:p w14:paraId="6755364C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Shocks decay (competition, reversion)</w:t>
            </w:r>
          </w:p>
        </w:tc>
        <w:tc>
          <w:tcPr>
            <w:tcW w:w="0" w:type="auto"/>
            <w:vAlign w:val="center"/>
            <w:hideMark/>
          </w:tcPr>
          <w:p w14:paraId="4B10ED6E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Shocks persist (macro, policy, narrative regimes)</w:t>
            </w:r>
          </w:p>
        </w:tc>
        <w:tc>
          <w:tcPr>
            <w:tcW w:w="0" w:type="auto"/>
            <w:vAlign w:val="center"/>
            <w:hideMark/>
          </w:tcPr>
          <w:p w14:paraId="63717D69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Regime</w:t>
            </w:r>
            <w:r w:rsidRPr="00643808">
              <w:rPr>
                <w:color w:val="EE0000"/>
                <w:lang w:val="en-GB"/>
              </w:rPr>
              <w:noBreakHyphen/>
              <w:t>switching dominates long</w:t>
            </w:r>
            <w:r w:rsidRPr="00643808">
              <w:rPr>
                <w:color w:val="EE0000"/>
                <w:lang w:val="en-GB"/>
              </w:rPr>
              <w:noBreakHyphen/>
              <w:t>horizon behaviour</w:t>
            </w:r>
          </w:p>
        </w:tc>
      </w:tr>
      <w:tr w:rsidR="00643808" w:rsidRPr="00643808" w14:paraId="393CC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8D82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Distribution shape</w:t>
            </w:r>
          </w:p>
        </w:tc>
        <w:tc>
          <w:tcPr>
            <w:tcW w:w="0" w:type="auto"/>
            <w:vAlign w:val="center"/>
            <w:hideMark/>
          </w:tcPr>
          <w:p w14:paraId="580CA524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Mean</w:t>
            </w:r>
            <w:r w:rsidRPr="00643808">
              <w:rPr>
                <w:color w:val="EE0000"/>
                <w:lang w:val="en-GB"/>
              </w:rPr>
              <w:noBreakHyphen/>
              <w:t>reverting, bounded</w:t>
            </w:r>
          </w:p>
        </w:tc>
        <w:tc>
          <w:tcPr>
            <w:tcW w:w="0" w:type="auto"/>
            <w:vAlign w:val="center"/>
            <w:hideMark/>
          </w:tcPr>
          <w:p w14:paraId="78284C03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Fat</w:t>
            </w:r>
            <w:r w:rsidRPr="00643808">
              <w:rPr>
                <w:color w:val="EE0000"/>
                <w:lang w:val="en-GB"/>
              </w:rPr>
              <w:noBreakHyphen/>
              <w:t>tailed, regime</w:t>
            </w:r>
            <w:r w:rsidRPr="00643808">
              <w:rPr>
                <w:color w:val="EE0000"/>
                <w:lang w:val="en-GB"/>
              </w:rPr>
              <w:noBreakHyphen/>
              <w:t>dependent</w:t>
            </w:r>
          </w:p>
        </w:tc>
        <w:tc>
          <w:tcPr>
            <w:tcW w:w="0" w:type="auto"/>
            <w:vAlign w:val="center"/>
            <w:hideMark/>
          </w:tcPr>
          <w:p w14:paraId="3CF90B8C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Need mixture distributions, not OU</w:t>
            </w:r>
          </w:p>
        </w:tc>
      </w:tr>
      <w:tr w:rsidR="00643808" w:rsidRPr="00643808" w14:paraId="5F28B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1F19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Usefulness of P/E for forecasting</w:t>
            </w:r>
          </w:p>
        </w:tc>
        <w:tc>
          <w:tcPr>
            <w:tcW w:w="0" w:type="auto"/>
            <w:vAlign w:val="center"/>
            <w:hideMark/>
          </w:tcPr>
          <w:p w14:paraId="032CDFD2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High (3–7 years)</w:t>
            </w:r>
          </w:p>
        </w:tc>
        <w:tc>
          <w:tcPr>
            <w:tcW w:w="0" w:type="auto"/>
            <w:vAlign w:val="center"/>
            <w:hideMark/>
          </w:tcPr>
          <w:p w14:paraId="6B9337C1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Moderate (5–10 years), weak (30 years)</w:t>
            </w:r>
          </w:p>
        </w:tc>
        <w:tc>
          <w:tcPr>
            <w:tcW w:w="0" w:type="auto"/>
            <w:vAlign w:val="center"/>
            <w:hideMark/>
          </w:tcPr>
          <w:p w14:paraId="09CED75D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P/E reversion not reliable for 30</w:t>
            </w:r>
            <w:r w:rsidRPr="00643808">
              <w:rPr>
                <w:color w:val="EE0000"/>
                <w:lang w:val="en-GB"/>
              </w:rPr>
              <w:noBreakHyphen/>
              <w:t>year hedging</w:t>
            </w:r>
          </w:p>
        </w:tc>
      </w:tr>
      <w:tr w:rsidR="00643808" w:rsidRPr="00643808" w14:paraId="28D3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35EE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b/>
                <w:bCs/>
                <w:color w:val="EE0000"/>
                <w:lang w:val="en-GB"/>
              </w:rPr>
              <w:t>Best modelling approach</w:t>
            </w:r>
          </w:p>
        </w:tc>
        <w:tc>
          <w:tcPr>
            <w:tcW w:w="0" w:type="auto"/>
            <w:vAlign w:val="center"/>
            <w:hideMark/>
          </w:tcPr>
          <w:p w14:paraId="0DEAB352" w14:textId="77777777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>OU</w:t>
            </w:r>
            <w:r w:rsidRPr="00643808">
              <w:rPr>
                <w:color w:val="EE0000"/>
                <w:lang w:val="en-GB"/>
              </w:rPr>
              <w:noBreakHyphen/>
              <w:t>type or cross</w:t>
            </w:r>
            <w:r w:rsidRPr="00643808">
              <w:rPr>
                <w:color w:val="EE0000"/>
                <w:lang w:val="en-GB"/>
              </w:rPr>
              <w:noBreakHyphen/>
              <w:t>sectional factor models</w:t>
            </w:r>
          </w:p>
        </w:tc>
        <w:tc>
          <w:tcPr>
            <w:tcW w:w="0" w:type="auto"/>
            <w:vAlign w:val="center"/>
            <w:hideMark/>
          </w:tcPr>
          <w:p w14:paraId="7FEE0BAE" w14:textId="4F7FF531" w:rsidR="00F525C4" w:rsidRPr="00643808" w:rsidRDefault="00F525C4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 xml:space="preserve">GBM + stochastic drift + </w:t>
            </w:r>
            <w:r w:rsidR="005B06B7" w:rsidRPr="00643808">
              <w:rPr>
                <w:color w:val="EE0000"/>
                <w:lang w:val="en-GB"/>
              </w:rPr>
              <w:t xml:space="preserve">Mean Reversion + </w:t>
            </w:r>
            <w:r w:rsidR="00A26FF6" w:rsidRPr="00643808">
              <w:rPr>
                <w:color w:val="EE0000"/>
                <w:lang w:val="en-GB"/>
              </w:rPr>
              <w:t>r</w:t>
            </w:r>
            <w:r w:rsidRPr="00643808">
              <w:rPr>
                <w:color w:val="EE0000"/>
                <w:lang w:val="en-GB"/>
              </w:rPr>
              <w:t>egime switching</w:t>
            </w:r>
          </w:p>
        </w:tc>
        <w:tc>
          <w:tcPr>
            <w:tcW w:w="0" w:type="auto"/>
            <w:vAlign w:val="center"/>
            <w:hideMark/>
          </w:tcPr>
          <w:p w14:paraId="6A430992" w14:textId="75D792E0" w:rsidR="00F525C4" w:rsidRPr="00643808" w:rsidRDefault="00A26FF6" w:rsidP="00F525C4">
            <w:pPr>
              <w:pStyle w:val="BodyText"/>
              <w:spacing w:before="61"/>
              <w:rPr>
                <w:color w:val="EE0000"/>
                <w:lang w:val="en-GB"/>
              </w:rPr>
            </w:pPr>
            <w:r w:rsidRPr="00643808">
              <w:rPr>
                <w:color w:val="EE0000"/>
                <w:lang w:val="en-GB"/>
              </w:rPr>
              <w:t xml:space="preserve">Limited regime </w:t>
            </w:r>
            <w:r w:rsidR="00BB5224" w:rsidRPr="00643808">
              <w:rPr>
                <w:color w:val="EE0000"/>
                <w:lang w:val="en-GB"/>
              </w:rPr>
              <w:t xml:space="preserve">switching </w:t>
            </w:r>
            <w:r w:rsidRPr="00643808">
              <w:rPr>
                <w:color w:val="EE0000"/>
                <w:lang w:val="en-GB"/>
              </w:rPr>
              <w:t xml:space="preserve">data available </w:t>
            </w:r>
          </w:p>
        </w:tc>
      </w:tr>
    </w:tbl>
    <w:p w14:paraId="4990013E" w14:textId="77777777" w:rsidR="000436DE" w:rsidRPr="00643808" w:rsidRDefault="000436DE">
      <w:pPr>
        <w:pStyle w:val="BodyText"/>
        <w:spacing w:before="61"/>
        <w:rPr>
          <w:color w:val="EE0000"/>
          <w:lang w:val="en-GB"/>
        </w:rPr>
      </w:pPr>
    </w:p>
    <w:p w14:paraId="77BE816D" w14:textId="7C030005" w:rsidR="000F2021" w:rsidRPr="00BB5224" w:rsidRDefault="000F2021" w:rsidP="000F2021">
      <w:pPr>
        <w:widowControl/>
        <w:autoSpaceDE/>
        <w:autoSpaceDN/>
        <w:spacing w:before="100" w:beforeAutospacing="1" w:after="100" w:afterAutospacing="1"/>
        <w:outlineLvl w:val="0"/>
        <w:rPr>
          <w:rFonts w:asciiTheme="minorBidi" w:eastAsia="Times New Roman" w:hAnsiTheme="minorBidi" w:cstheme="minorBidi"/>
          <w:b/>
          <w:bCs/>
          <w:color w:val="009999"/>
          <w:kern w:val="36"/>
          <w:sz w:val="28"/>
          <w:szCs w:val="28"/>
          <w:lang w:val="en-GB" w:eastAsia="zh-CN"/>
        </w:rPr>
      </w:pPr>
      <w:r w:rsidRPr="00BB5224">
        <w:rPr>
          <w:rFonts w:asciiTheme="minorBidi" w:eastAsia="Times New Roman" w:hAnsiTheme="minorBidi" w:cstheme="minorBidi"/>
          <w:b/>
          <w:bCs/>
          <w:color w:val="009999"/>
          <w:kern w:val="36"/>
          <w:sz w:val="28"/>
          <w:szCs w:val="28"/>
          <w:lang w:val="en-GB" w:eastAsia="zh-CN"/>
        </w:rPr>
        <w:t>Interpretation for our 30</w:t>
      </w:r>
      <w:r w:rsidRPr="00BB5224">
        <w:rPr>
          <w:rFonts w:asciiTheme="minorBidi" w:eastAsia="Times New Roman" w:hAnsiTheme="minorBidi" w:cstheme="minorBidi"/>
          <w:b/>
          <w:bCs/>
          <w:color w:val="009999"/>
          <w:kern w:val="36"/>
          <w:sz w:val="28"/>
          <w:szCs w:val="28"/>
          <w:lang w:val="en-GB" w:eastAsia="zh-CN"/>
        </w:rPr>
        <w:noBreakHyphen/>
        <w:t xml:space="preserve">year S&amp;P </w:t>
      </w:r>
      <w:r w:rsidR="00E55496">
        <w:rPr>
          <w:rFonts w:asciiTheme="minorBidi" w:eastAsia="Times New Roman" w:hAnsiTheme="minorBidi" w:cstheme="minorBidi"/>
          <w:b/>
          <w:bCs/>
          <w:color w:val="009999"/>
          <w:kern w:val="36"/>
          <w:sz w:val="28"/>
          <w:szCs w:val="28"/>
          <w:lang w:val="en-GB" w:eastAsia="zh-CN"/>
        </w:rPr>
        <w:t xml:space="preserve">index return EPM </w:t>
      </w:r>
      <w:r w:rsidRPr="00BB5224">
        <w:rPr>
          <w:rFonts w:asciiTheme="minorBidi" w:eastAsia="Times New Roman" w:hAnsiTheme="minorBidi" w:cstheme="minorBidi"/>
          <w:b/>
          <w:bCs/>
          <w:color w:val="009999"/>
          <w:kern w:val="36"/>
          <w:sz w:val="28"/>
          <w:szCs w:val="28"/>
          <w:lang w:val="en-GB" w:eastAsia="zh-CN"/>
        </w:rPr>
        <w:t>engine</w:t>
      </w:r>
    </w:p>
    <w:p w14:paraId="62783605" w14:textId="41B60C11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Stock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level mean reversion does NOT scale to the index</w:t>
      </w:r>
    </w:p>
    <w:p w14:paraId="38BD4EBC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Individual stocks revert to fundamentals. The index does not — because the index 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replaces losers with winners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.</w:t>
      </w:r>
    </w:p>
    <w:p w14:paraId="518251DF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This destroys the statistical foundation of mean reversion.</w:t>
      </w:r>
    </w:p>
    <w:p w14:paraId="0F8BAE1C" w14:textId="28265DC0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The index’s “mean” is not stable</w:t>
      </w:r>
    </w:p>
    <w:p w14:paraId="7CA31054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Over 30 years, the S&amp;P’s long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run mean is altered by:</w:t>
      </w:r>
    </w:p>
    <w:p w14:paraId="16B67482" w14:textId="77777777" w:rsidR="000F2021" w:rsidRPr="00643808" w:rsidRDefault="000F2021" w:rsidP="00BB522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sector rotations</w:t>
      </w:r>
    </w:p>
    <w:p w14:paraId="70A05ACB" w14:textId="77777777" w:rsidR="000F2021" w:rsidRPr="00643808" w:rsidRDefault="000F2021" w:rsidP="00BB522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margin regimes</w:t>
      </w:r>
    </w:p>
    <w:p w14:paraId="52C80718" w14:textId="77777777" w:rsidR="000F2021" w:rsidRPr="00643808" w:rsidRDefault="000F2021" w:rsidP="00BB522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lastRenderedPageBreak/>
        <w:t>real rate regimes</w:t>
      </w:r>
    </w:p>
    <w:p w14:paraId="5EC50C8B" w14:textId="77777777" w:rsidR="000F2021" w:rsidRPr="00643808" w:rsidRDefault="000F2021" w:rsidP="00BB522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productivity cycles</w:t>
      </w:r>
    </w:p>
    <w:p w14:paraId="487F0EC1" w14:textId="77777777" w:rsidR="000F2021" w:rsidRPr="00643808" w:rsidRDefault="000F2021" w:rsidP="00BB522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globalisation vs fragmentation</w:t>
      </w:r>
    </w:p>
    <w:p w14:paraId="4D65EF49" w14:textId="77777777" w:rsidR="000F2021" w:rsidRPr="00643808" w:rsidRDefault="000F2021" w:rsidP="00BB5224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index reconstitution</w:t>
      </w:r>
    </w:p>
    <w:p w14:paraId="1EB22855" w14:textId="77777777" w:rsidR="00E55496" w:rsidRPr="00643808" w:rsidRDefault="000F2021" w:rsidP="00E55496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If the mean moves, nothing can revert to it.</w:t>
      </w:r>
    </w:p>
    <w:p w14:paraId="50341B3E" w14:textId="65E85FDA" w:rsidR="000F2021" w:rsidRPr="00643808" w:rsidRDefault="000F2021" w:rsidP="00E55496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Index returns behave like GBM with stochastic drift</w:t>
      </w:r>
    </w:p>
    <w:p w14:paraId="7A05FBAD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Because:</w:t>
      </w:r>
    </w:p>
    <w:p w14:paraId="52951A1A" w14:textId="77777777" w:rsidR="000F2021" w:rsidRPr="00643808" w:rsidRDefault="000F2021" w:rsidP="00BB522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winners compound</w:t>
      </w:r>
    </w:p>
    <w:p w14:paraId="3D1733D5" w14:textId="77777777" w:rsidR="000F2021" w:rsidRPr="00643808" w:rsidRDefault="000F2021" w:rsidP="00BB522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losers disappear</w:t>
      </w:r>
    </w:p>
    <w:p w14:paraId="3E2C4ACB" w14:textId="77777777" w:rsidR="000F2021" w:rsidRPr="00643808" w:rsidRDefault="000F2021" w:rsidP="00BB522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drift uncertainty dominates</w:t>
      </w:r>
    </w:p>
    <w:p w14:paraId="443E3479" w14:textId="77777777" w:rsidR="000F2021" w:rsidRPr="00643808" w:rsidRDefault="000F2021" w:rsidP="00BB522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structural breaks occur</w:t>
      </w:r>
    </w:p>
    <w:p w14:paraId="216FE0EC" w14:textId="0BAE65CD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This is why 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GBM </w:t>
      </w:r>
      <w:r w:rsidR="00106728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with stochastic drift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is the correct long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horizon model.</w:t>
      </w:r>
    </w:p>
    <w:p w14:paraId="5C1484D7" w14:textId="603867A1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Valuation reversion is a tactical tool, not a 30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year modelling input</w:t>
      </w:r>
    </w:p>
    <w:p w14:paraId="1A391469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P/E reversion helps with:</w:t>
      </w:r>
    </w:p>
    <w:p w14:paraId="1AD0ADA1" w14:textId="77777777" w:rsidR="000F2021" w:rsidRPr="00643808" w:rsidRDefault="000F2021" w:rsidP="00BB5224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3–7 year tactical allocation</w:t>
      </w:r>
    </w:p>
    <w:p w14:paraId="52A1B6C7" w14:textId="77777777" w:rsidR="000F2021" w:rsidRPr="00643808" w:rsidRDefault="000F2021" w:rsidP="00BB5224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expected return adjustments</w:t>
      </w:r>
    </w:p>
    <w:p w14:paraId="20EDE076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But over 30 years:</w:t>
      </w:r>
    </w:p>
    <w:p w14:paraId="60C8E57C" w14:textId="77777777" w:rsidR="000F2021" w:rsidRPr="00643808" w:rsidRDefault="000F2021" w:rsidP="00BB5224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 valuation anchor moves</w:t>
      </w:r>
    </w:p>
    <w:p w14:paraId="16189EFD" w14:textId="77777777" w:rsidR="000F2021" w:rsidRPr="00643808" w:rsidRDefault="000F2021" w:rsidP="00BB5224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 index composition changes</w:t>
      </w:r>
    </w:p>
    <w:p w14:paraId="49981AB0" w14:textId="77777777" w:rsidR="000F2021" w:rsidRPr="00643808" w:rsidRDefault="000F2021" w:rsidP="00BB5224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structural drift dominates</w:t>
      </w:r>
    </w:p>
    <w:p w14:paraId="6B44B66A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So P/E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 mean reversion does not constrain terminal outcomes.</w:t>
      </w:r>
    </w:p>
    <w:p w14:paraId="4616F09A" w14:textId="146F021C" w:rsidR="000F2021" w:rsidRPr="00643808" w:rsidRDefault="007815FA" w:rsidP="00BB5224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Theme="minorBidi" w:eastAsia="Times New Roman" w:hAnsiTheme="minorBidi" w:cstheme="minorBidi"/>
          <w:b/>
          <w:bCs/>
          <w:color w:val="EE0000"/>
          <w:kern w:val="36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kern w:val="36"/>
          <w:sz w:val="20"/>
          <w:szCs w:val="20"/>
          <w:lang w:val="en-GB" w:eastAsia="zh-CN"/>
        </w:rPr>
        <w:t>Conclusion</w:t>
      </w:r>
    </w:p>
    <w:p w14:paraId="79191397" w14:textId="77777777" w:rsidR="000F2021" w:rsidRPr="00643808" w:rsidRDefault="000F2021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Individual stocks mean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revert to fundamentals; the index does not. Over 30 years, the S&amp;P behaves like a drifting, regime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switching process with weak valuation reversion and strong volatility reversion.</w:t>
      </w:r>
    </w:p>
    <w:p w14:paraId="2E908FAF" w14:textId="76BE3A4C" w:rsidR="0092209F" w:rsidRPr="00BB5224" w:rsidRDefault="0092209F" w:rsidP="0092209F">
      <w:pPr>
        <w:widowControl/>
        <w:autoSpaceDE/>
        <w:autoSpaceDN/>
        <w:spacing w:before="100" w:beforeAutospacing="1" w:after="100" w:afterAutospacing="1"/>
        <w:outlineLvl w:val="0"/>
        <w:rPr>
          <w:rFonts w:asciiTheme="minorBidi" w:eastAsia="Times New Roman" w:hAnsiTheme="minorBidi" w:cstheme="minorBidi"/>
          <w:b/>
          <w:bCs/>
          <w:color w:val="009999"/>
          <w:kern w:val="36"/>
          <w:sz w:val="28"/>
          <w:szCs w:val="28"/>
          <w:lang w:val="en-GB" w:eastAsia="zh-CN"/>
        </w:rPr>
      </w:pPr>
      <w:r>
        <w:rPr>
          <w:rFonts w:asciiTheme="minorBidi" w:eastAsia="Times New Roman" w:hAnsiTheme="minorBidi" w:cstheme="minorBidi"/>
          <w:b/>
          <w:bCs/>
          <w:color w:val="009999"/>
          <w:kern w:val="36"/>
          <w:sz w:val="28"/>
          <w:szCs w:val="28"/>
          <w:lang w:val="en-GB" w:eastAsia="zh-CN"/>
        </w:rPr>
        <w:t>Full 30 year Modelling Assumptions</w:t>
      </w:r>
    </w:p>
    <w:p w14:paraId="055DD1FD" w14:textId="20524E1E" w:rsidR="000B7AF6" w:rsidRPr="00643808" w:rsidRDefault="00C83E66" w:rsidP="00C83E66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Below is </w:t>
      </w:r>
      <w:r w:rsidR="000B7AF6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the </w:t>
      </w:r>
      <w:r w:rsidR="000B7AF6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full 30</w:t>
      </w:r>
      <w:r w:rsidR="000B7AF6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year modelling assumptions table</w:t>
      </w:r>
      <w:r w:rsidR="000B7AF6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, built specifically for S&amp;P 500 long</w:t>
      </w:r>
      <w:r w:rsidR="000B7AF6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 xml:space="preserve">horizon 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index returns EPM funding </w:t>
      </w:r>
      <w:r w:rsidR="000B7AF6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engine</w:t>
      </w:r>
      <w:r w:rsidR="000A2864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:</w:t>
      </w:r>
      <w:r w:rsidR="000B7AF6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</w:p>
    <w:p w14:paraId="694143F2" w14:textId="77777777" w:rsidR="000B7AF6" w:rsidRPr="00643808" w:rsidRDefault="000B7AF6" w:rsidP="00BB522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 table (drift, vol, regimes, transitions, valuation reversion strength)</w:t>
      </w:r>
    </w:p>
    <w:p w14:paraId="07D87EF2" w14:textId="77777777" w:rsidR="000B7AF6" w:rsidRPr="00643808" w:rsidRDefault="000B7AF6" w:rsidP="00BB522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Interpretation layer</w:t>
      </w:r>
    </w:p>
    <w:p w14:paraId="178AD033" w14:textId="77777777" w:rsidR="000B7AF6" w:rsidRPr="00643808" w:rsidRDefault="000B7AF6" w:rsidP="00BB522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How it feeds into shortfall modelling and hedge design</w:t>
      </w:r>
    </w:p>
    <w:p w14:paraId="443FABEF" w14:textId="77777777" w:rsidR="000A2864" w:rsidRDefault="000A2864">
      <w:pPr>
        <w:rPr>
          <w:rFonts w:asciiTheme="minorBidi" w:eastAsia="Times New Roman" w:hAnsiTheme="minorBidi" w:cstheme="minorBidi"/>
          <w:b/>
          <w:bCs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b/>
          <w:bCs/>
          <w:sz w:val="20"/>
          <w:szCs w:val="20"/>
          <w:lang w:val="en-GB" w:eastAsia="zh-CN"/>
        </w:rPr>
        <w:br w:type="page"/>
      </w:r>
    </w:p>
    <w:p w14:paraId="203BE6F3" w14:textId="30CD04D8" w:rsidR="000B7AF6" w:rsidRPr="00643808" w:rsidRDefault="000B7AF6" w:rsidP="00BB5224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lastRenderedPageBreak/>
        <w:t>Regime Definitions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107"/>
        <w:gridCol w:w="2489"/>
        <w:gridCol w:w="2622"/>
      </w:tblGrid>
      <w:tr w:rsidR="00643808" w:rsidRPr="00643808" w14:paraId="1942C49C" w14:textId="77777777" w:rsidTr="000A28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3C1DE3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6453808E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77A16C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Economic Conditions</w:t>
            </w:r>
          </w:p>
        </w:tc>
        <w:tc>
          <w:tcPr>
            <w:tcW w:w="0" w:type="auto"/>
            <w:vAlign w:val="center"/>
            <w:hideMark/>
          </w:tcPr>
          <w:p w14:paraId="7278A444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Equity Behaviour</w:t>
            </w:r>
          </w:p>
        </w:tc>
      </w:tr>
      <w:tr w:rsidR="00643808" w:rsidRPr="00643808" w14:paraId="6B7E6B87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7D4A8C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 A: High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Growth / Low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Vol</w:t>
            </w:r>
          </w:p>
        </w:tc>
        <w:tc>
          <w:tcPr>
            <w:tcW w:w="0" w:type="auto"/>
            <w:vAlign w:val="center"/>
            <w:hideMark/>
          </w:tcPr>
          <w:p w14:paraId="2EA1A757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Productivity boom, stable policy</w:t>
            </w:r>
          </w:p>
        </w:tc>
        <w:tc>
          <w:tcPr>
            <w:tcW w:w="0" w:type="auto"/>
            <w:vAlign w:val="center"/>
            <w:hideMark/>
          </w:tcPr>
          <w:p w14:paraId="0A9D7D37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Low inflation, strong earnings, high margins</w:t>
            </w:r>
          </w:p>
        </w:tc>
        <w:tc>
          <w:tcPr>
            <w:tcW w:w="0" w:type="auto"/>
            <w:vAlign w:val="center"/>
            <w:hideMark/>
          </w:tcPr>
          <w:p w14:paraId="56D95AD4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High drift, low vol</w:t>
            </w:r>
          </w:p>
        </w:tc>
      </w:tr>
      <w:tr w:rsidR="00643808" w:rsidRPr="00643808" w14:paraId="579E989C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F00530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 B: Mid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Cycle / Normal</w:t>
            </w:r>
          </w:p>
        </w:tc>
        <w:tc>
          <w:tcPr>
            <w:tcW w:w="0" w:type="auto"/>
            <w:vAlign w:val="center"/>
            <w:hideMark/>
          </w:tcPr>
          <w:p w14:paraId="7203F90C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Typical expansion</w:t>
            </w:r>
          </w:p>
        </w:tc>
        <w:tc>
          <w:tcPr>
            <w:tcW w:w="0" w:type="auto"/>
            <w:vAlign w:val="center"/>
            <w:hideMark/>
          </w:tcPr>
          <w:p w14:paraId="1D762FE2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Moderate inflation, stable rates</w:t>
            </w:r>
          </w:p>
        </w:tc>
        <w:tc>
          <w:tcPr>
            <w:tcW w:w="0" w:type="auto"/>
            <w:vAlign w:val="center"/>
            <w:hideMark/>
          </w:tcPr>
          <w:p w14:paraId="5A17A194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Moderate drift, moderate vol</w:t>
            </w:r>
          </w:p>
        </w:tc>
      </w:tr>
      <w:tr w:rsidR="00643808" w:rsidRPr="00643808" w14:paraId="63805485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517D72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 C: Stagnation / High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Vol</w:t>
            </w:r>
          </w:p>
        </w:tc>
        <w:tc>
          <w:tcPr>
            <w:tcW w:w="0" w:type="auto"/>
            <w:vAlign w:val="center"/>
            <w:hideMark/>
          </w:tcPr>
          <w:p w14:paraId="23468A62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Low productivity, policy uncertainty</w:t>
            </w:r>
          </w:p>
        </w:tc>
        <w:tc>
          <w:tcPr>
            <w:tcW w:w="0" w:type="auto"/>
            <w:vAlign w:val="center"/>
            <w:hideMark/>
          </w:tcPr>
          <w:p w14:paraId="643790C4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Elevated inflation, margin compression</w:t>
            </w:r>
          </w:p>
        </w:tc>
        <w:tc>
          <w:tcPr>
            <w:tcW w:w="0" w:type="auto"/>
            <w:vAlign w:val="center"/>
            <w:hideMark/>
          </w:tcPr>
          <w:p w14:paraId="42B98DC3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Low drift, high vol</w:t>
            </w:r>
          </w:p>
        </w:tc>
      </w:tr>
      <w:tr w:rsidR="00643808" w:rsidRPr="00643808" w14:paraId="301CA40D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37549F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 D: Crisis</w:t>
            </w:r>
          </w:p>
        </w:tc>
        <w:tc>
          <w:tcPr>
            <w:tcW w:w="0" w:type="auto"/>
            <w:vAlign w:val="center"/>
            <w:hideMark/>
          </w:tcPr>
          <w:p w14:paraId="5EB63D96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Recession, liquidity stress</w:t>
            </w:r>
          </w:p>
        </w:tc>
        <w:tc>
          <w:tcPr>
            <w:tcW w:w="0" w:type="auto"/>
            <w:vAlign w:val="center"/>
            <w:hideMark/>
          </w:tcPr>
          <w:p w14:paraId="10659DEE" w14:textId="77777777" w:rsidR="00412244" w:rsidRPr="00643808" w:rsidRDefault="00412244" w:rsidP="000A2864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Credit tightening, earnings collapse</w:t>
            </w:r>
          </w:p>
        </w:tc>
        <w:tc>
          <w:tcPr>
            <w:tcW w:w="0" w:type="auto"/>
            <w:vAlign w:val="center"/>
            <w:hideMark/>
          </w:tcPr>
          <w:p w14:paraId="25685F4C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Negative drift, very high vol</w:t>
            </w:r>
          </w:p>
        </w:tc>
      </w:tr>
      <w:tr w:rsidR="00643808" w:rsidRPr="00643808" w14:paraId="7FD456AD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42D99B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72A2FC2D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Drift (μ)</w:t>
            </w:r>
          </w:p>
        </w:tc>
        <w:tc>
          <w:tcPr>
            <w:tcW w:w="0" w:type="auto"/>
            <w:vAlign w:val="center"/>
            <w:hideMark/>
          </w:tcPr>
          <w:p w14:paraId="71B147B3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Volatility (σ)</w:t>
            </w:r>
          </w:p>
        </w:tc>
        <w:tc>
          <w:tcPr>
            <w:tcW w:w="0" w:type="auto"/>
            <w:vAlign w:val="center"/>
            <w:hideMark/>
          </w:tcPr>
          <w:p w14:paraId="391899E2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Notes</w:t>
            </w:r>
          </w:p>
        </w:tc>
      </w:tr>
      <w:tr w:rsidR="00643808" w:rsidRPr="00643808" w14:paraId="5E2425F4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0E3A6A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A: High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Growth</w:t>
            </w:r>
          </w:p>
        </w:tc>
        <w:tc>
          <w:tcPr>
            <w:tcW w:w="0" w:type="auto"/>
            <w:vAlign w:val="center"/>
            <w:hideMark/>
          </w:tcPr>
          <w:p w14:paraId="0CE3A8E3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6.5–8.0%</w:t>
            </w:r>
          </w:p>
        </w:tc>
        <w:tc>
          <w:tcPr>
            <w:tcW w:w="0" w:type="auto"/>
            <w:vAlign w:val="center"/>
            <w:hideMark/>
          </w:tcPr>
          <w:p w14:paraId="14D2BEAB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10–14%</w:t>
            </w:r>
          </w:p>
        </w:tc>
        <w:tc>
          <w:tcPr>
            <w:tcW w:w="0" w:type="auto"/>
            <w:vAlign w:val="center"/>
            <w:hideMark/>
          </w:tcPr>
          <w:p w14:paraId="73E9746B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AI/productivity booms, margin expansion</w:t>
            </w:r>
          </w:p>
        </w:tc>
      </w:tr>
      <w:tr w:rsidR="00643808" w:rsidRPr="00643808" w14:paraId="2DEACF7C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D0EFDD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B: Mid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Cycle</w:t>
            </w:r>
          </w:p>
        </w:tc>
        <w:tc>
          <w:tcPr>
            <w:tcW w:w="0" w:type="auto"/>
            <w:vAlign w:val="center"/>
            <w:hideMark/>
          </w:tcPr>
          <w:p w14:paraId="098EAC2F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4.5–6.0%</w:t>
            </w:r>
          </w:p>
        </w:tc>
        <w:tc>
          <w:tcPr>
            <w:tcW w:w="0" w:type="auto"/>
            <w:vAlign w:val="center"/>
            <w:hideMark/>
          </w:tcPr>
          <w:p w14:paraId="417031B5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14–18%</w:t>
            </w:r>
          </w:p>
        </w:tc>
        <w:tc>
          <w:tcPr>
            <w:tcW w:w="0" w:type="auto"/>
            <w:vAlign w:val="center"/>
            <w:hideMark/>
          </w:tcPr>
          <w:p w14:paraId="082FD429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Long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run “normal” state</w:t>
            </w:r>
          </w:p>
        </w:tc>
      </w:tr>
      <w:tr w:rsidR="00643808" w:rsidRPr="00643808" w14:paraId="1C7CC90C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26906E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C: Stagnation</w:t>
            </w:r>
          </w:p>
        </w:tc>
        <w:tc>
          <w:tcPr>
            <w:tcW w:w="0" w:type="auto"/>
            <w:vAlign w:val="center"/>
            <w:hideMark/>
          </w:tcPr>
          <w:p w14:paraId="767F9144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1.5–3.5%</w:t>
            </w:r>
          </w:p>
        </w:tc>
        <w:tc>
          <w:tcPr>
            <w:tcW w:w="0" w:type="auto"/>
            <w:vAlign w:val="center"/>
            <w:hideMark/>
          </w:tcPr>
          <w:p w14:paraId="16F4DE95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18–25%</w:t>
            </w:r>
          </w:p>
        </w:tc>
        <w:tc>
          <w:tcPr>
            <w:tcW w:w="0" w:type="auto"/>
            <w:vAlign w:val="center"/>
            <w:hideMark/>
          </w:tcPr>
          <w:p w14:paraId="4B0BBDCA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De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globalisation, inflation, low productivity</w:t>
            </w:r>
          </w:p>
        </w:tc>
      </w:tr>
      <w:tr w:rsidR="00643808" w:rsidRPr="00643808" w14:paraId="0C0E0DC0" w14:textId="77777777" w:rsidTr="000A28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39A2F4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D: Crisis</w:t>
            </w:r>
          </w:p>
        </w:tc>
        <w:tc>
          <w:tcPr>
            <w:tcW w:w="0" w:type="auto"/>
            <w:vAlign w:val="center"/>
            <w:hideMark/>
          </w:tcPr>
          <w:p w14:paraId="102D636E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–20% to –35% (1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yr shock)</w:t>
            </w:r>
          </w:p>
        </w:tc>
        <w:tc>
          <w:tcPr>
            <w:tcW w:w="0" w:type="auto"/>
            <w:vAlign w:val="center"/>
            <w:hideMark/>
          </w:tcPr>
          <w:p w14:paraId="384C1EF2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35–55%</w:t>
            </w:r>
          </w:p>
        </w:tc>
        <w:tc>
          <w:tcPr>
            <w:tcW w:w="0" w:type="auto"/>
            <w:vAlign w:val="center"/>
            <w:hideMark/>
          </w:tcPr>
          <w:p w14:paraId="5B4BF54A" w14:textId="77777777" w:rsidR="00412244" w:rsidRPr="00643808" w:rsidRDefault="00412244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Rare but regime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defining</w:t>
            </w:r>
          </w:p>
        </w:tc>
      </w:tr>
    </w:tbl>
    <w:p w14:paraId="027494A6" w14:textId="77777777" w:rsidR="00D951E9" w:rsidRPr="00643808" w:rsidRDefault="00D951E9" w:rsidP="00BB5224">
      <w:pPr>
        <w:jc w:val="both"/>
        <w:rPr>
          <w:rFonts w:asciiTheme="minorBidi" w:hAnsiTheme="minorBidi" w:cstheme="minorBidi"/>
          <w:color w:val="EE0000"/>
          <w:sz w:val="20"/>
          <w:szCs w:val="20"/>
        </w:rPr>
      </w:pPr>
    </w:p>
    <w:p w14:paraId="27881E1F" w14:textId="7119E169" w:rsidR="00560318" w:rsidRPr="00643808" w:rsidRDefault="00560318" w:rsidP="00F651F7">
      <w:pPr>
        <w:jc w:val="both"/>
        <w:rPr>
          <w:rFonts w:asciiTheme="minorBidi" w:hAnsiTheme="minorBidi" w:cstheme="minorBidi"/>
          <w:b/>
          <w:bCs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br/>
      </w:r>
      <w:r w:rsidRPr="00643808">
        <w:rPr>
          <w:rFonts w:asciiTheme="minorBidi" w:hAnsiTheme="minorBidi" w:cstheme="minorBidi"/>
          <w:b/>
          <w:bCs/>
          <w:color w:val="EE0000"/>
          <w:sz w:val="20"/>
          <w:szCs w:val="20"/>
        </w:rPr>
        <w:t>Drift &amp; Volatility Assumptions (Annualised)</w:t>
      </w:r>
    </w:p>
    <w:p w14:paraId="546E4E01" w14:textId="77777777" w:rsidR="00012333" w:rsidRPr="00643808" w:rsidRDefault="00012333" w:rsidP="00BB5224">
      <w:pPr>
        <w:jc w:val="both"/>
        <w:rPr>
          <w:rFonts w:asciiTheme="minorBidi" w:hAnsiTheme="minorBidi" w:cstheme="minorBidi"/>
          <w:b/>
          <w:bCs/>
          <w:color w:val="EE0000"/>
          <w:sz w:val="20"/>
          <w:szCs w:val="20"/>
        </w:rPr>
      </w:pPr>
    </w:p>
    <w:tbl>
      <w:tblPr>
        <w:tblW w:w="94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663"/>
        <w:gridCol w:w="1262"/>
        <w:gridCol w:w="3920"/>
      </w:tblGrid>
      <w:tr w:rsidR="00643808" w:rsidRPr="00643808" w14:paraId="5940F175" w14:textId="77777777" w:rsidTr="00F651F7">
        <w:trPr>
          <w:trHeight w:val="2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1CDA2" w14:textId="17846C9C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3FAA48F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Drift (μ)</w:t>
            </w:r>
          </w:p>
        </w:tc>
        <w:tc>
          <w:tcPr>
            <w:tcW w:w="0" w:type="auto"/>
            <w:vAlign w:val="center"/>
            <w:hideMark/>
          </w:tcPr>
          <w:p w14:paraId="1187BA39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Volatility (σ)</w:t>
            </w:r>
          </w:p>
        </w:tc>
        <w:tc>
          <w:tcPr>
            <w:tcW w:w="0" w:type="auto"/>
            <w:vAlign w:val="center"/>
            <w:hideMark/>
          </w:tcPr>
          <w:p w14:paraId="1EFFDFFF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Notes</w:t>
            </w:r>
          </w:p>
        </w:tc>
      </w:tr>
      <w:tr w:rsidR="00643808" w:rsidRPr="00643808" w14:paraId="1A79ED6E" w14:textId="77777777" w:rsidTr="00F651F7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2B7BFBB5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A: High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Growth</w:t>
            </w:r>
          </w:p>
        </w:tc>
        <w:tc>
          <w:tcPr>
            <w:tcW w:w="0" w:type="auto"/>
            <w:vAlign w:val="center"/>
            <w:hideMark/>
          </w:tcPr>
          <w:p w14:paraId="4E741F4D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6.5–8.0%</w:t>
            </w:r>
          </w:p>
        </w:tc>
        <w:tc>
          <w:tcPr>
            <w:tcW w:w="0" w:type="auto"/>
            <w:vAlign w:val="center"/>
            <w:hideMark/>
          </w:tcPr>
          <w:p w14:paraId="57E1B0ED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10–14%</w:t>
            </w:r>
          </w:p>
        </w:tc>
        <w:tc>
          <w:tcPr>
            <w:tcW w:w="0" w:type="auto"/>
            <w:vAlign w:val="center"/>
            <w:hideMark/>
          </w:tcPr>
          <w:p w14:paraId="084D59C7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AI/productivity booms, margin expansion</w:t>
            </w:r>
          </w:p>
        </w:tc>
      </w:tr>
      <w:tr w:rsidR="00643808" w:rsidRPr="00643808" w14:paraId="7F313D15" w14:textId="77777777" w:rsidTr="00F651F7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52964909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B: Mid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Cycle</w:t>
            </w:r>
          </w:p>
        </w:tc>
        <w:tc>
          <w:tcPr>
            <w:tcW w:w="0" w:type="auto"/>
            <w:vAlign w:val="center"/>
            <w:hideMark/>
          </w:tcPr>
          <w:p w14:paraId="6A7CC153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4.5–6.0%</w:t>
            </w:r>
          </w:p>
        </w:tc>
        <w:tc>
          <w:tcPr>
            <w:tcW w:w="0" w:type="auto"/>
            <w:vAlign w:val="center"/>
            <w:hideMark/>
          </w:tcPr>
          <w:p w14:paraId="4F116BF0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14–18%</w:t>
            </w:r>
          </w:p>
        </w:tc>
        <w:tc>
          <w:tcPr>
            <w:tcW w:w="0" w:type="auto"/>
            <w:vAlign w:val="center"/>
            <w:hideMark/>
          </w:tcPr>
          <w:p w14:paraId="6A66A768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Long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run “normal” state</w:t>
            </w:r>
          </w:p>
        </w:tc>
      </w:tr>
      <w:tr w:rsidR="00643808" w:rsidRPr="00643808" w14:paraId="42C93793" w14:textId="77777777" w:rsidTr="00F651F7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1F015BF2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C: Stagnation</w:t>
            </w:r>
          </w:p>
        </w:tc>
        <w:tc>
          <w:tcPr>
            <w:tcW w:w="0" w:type="auto"/>
            <w:vAlign w:val="center"/>
            <w:hideMark/>
          </w:tcPr>
          <w:p w14:paraId="12311C92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1.5–3.5%</w:t>
            </w:r>
          </w:p>
        </w:tc>
        <w:tc>
          <w:tcPr>
            <w:tcW w:w="0" w:type="auto"/>
            <w:vAlign w:val="center"/>
            <w:hideMark/>
          </w:tcPr>
          <w:p w14:paraId="0121D5B9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18–25%</w:t>
            </w:r>
          </w:p>
        </w:tc>
        <w:tc>
          <w:tcPr>
            <w:tcW w:w="0" w:type="auto"/>
            <w:vAlign w:val="center"/>
            <w:hideMark/>
          </w:tcPr>
          <w:p w14:paraId="0A10D508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De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globalisation, inflation, low productivity</w:t>
            </w:r>
          </w:p>
        </w:tc>
      </w:tr>
      <w:tr w:rsidR="00643808" w:rsidRPr="00643808" w14:paraId="778928B6" w14:textId="77777777" w:rsidTr="00F651F7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3C65D310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D: Crisis</w:t>
            </w:r>
          </w:p>
        </w:tc>
        <w:tc>
          <w:tcPr>
            <w:tcW w:w="0" w:type="auto"/>
            <w:vAlign w:val="center"/>
            <w:hideMark/>
          </w:tcPr>
          <w:p w14:paraId="295EE814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–20% to –35% (1</w:t>
            </w: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noBreakHyphen/>
              <w:t>yr shock)</w:t>
            </w:r>
          </w:p>
        </w:tc>
        <w:tc>
          <w:tcPr>
            <w:tcW w:w="0" w:type="auto"/>
            <w:vAlign w:val="center"/>
            <w:hideMark/>
          </w:tcPr>
          <w:p w14:paraId="38FA03E2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35–55%</w:t>
            </w:r>
          </w:p>
        </w:tc>
        <w:tc>
          <w:tcPr>
            <w:tcW w:w="0" w:type="auto"/>
            <w:vAlign w:val="center"/>
            <w:hideMark/>
          </w:tcPr>
          <w:p w14:paraId="6A73CCEA" w14:textId="77777777" w:rsidR="00560318" w:rsidRPr="00643808" w:rsidRDefault="00560318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Rare but regime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defining</w:t>
            </w:r>
          </w:p>
        </w:tc>
      </w:tr>
    </w:tbl>
    <w:p w14:paraId="6A24B966" w14:textId="27E10DC9" w:rsidR="00B97859" w:rsidRPr="00643808" w:rsidRDefault="00B97859" w:rsidP="00BB5224">
      <w:pPr>
        <w:pStyle w:val="NormalWeb"/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 xml:space="preserve">These are </w:t>
      </w:r>
      <w:r w:rsidRPr="00643808">
        <w:rPr>
          <w:rStyle w:val="Strong"/>
          <w:rFonts w:asciiTheme="minorBidi" w:hAnsiTheme="minorBidi" w:cstheme="minorBidi"/>
          <w:color w:val="EE0000"/>
          <w:sz w:val="20"/>
          <w:szCs w:val="20"/>
        </w:rPr>
        <w:t>bands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t>, not point estimates</w:t>
      </w:r>
      <w:r w:rsidR="00F651F7" w:rsidRPr="00643808">
        <w:rPr>
          <w:rFonts w:asciiTheme="minorBidi" w:hAnsiTheme="minorBidi" w:cstheme="minorBidi"/>
          <w:color w:val="EE0000"/>
          <w:sz w:val="20"/>
          <w:szCs w:val="20"/>
        </w:rPr>
        <w:t>. A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t>ppropriate for long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noBreakHyphen/>
        <w:t>horizon modelling.</w:t>
      </w:r>
    </w:p>
    <w:p w14:paraId="22FC4713" w14:textId="031D9C72" w:rsidR="00083848" w:rsidRPr="00643808" w:rsidRDefault="00083848" w:rsidP="00BB5224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Regime Transition Matrix (5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Year Half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Lives)</w:t>
      </w:r>
    </w:p>
    <w:p w14:paraId="433F6EC1" w14:textId="77777777" w:rsidR="00083848" w:rsidRPr="00643808" w:rsidRDefault="00083848" w:rsidP="00BB5224">
      <w:pPr>
        <w:widowControl/>
        <w:autoSpaceDE/>
        <w:autoSpaceDN/>
        <w:spacing w:before="100" w:beforeAutospacing="1" w:after="100" w:afterAutospacing="1"/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i/>
          <w:iCs/>
          <w:color w:val="EE0000"/>
          <w:sz w:val="20"/>
          <w:szCs w:val="20"/>
          <w:lang w:val="en-GB" w:eastAsia="zh-CN"/>
        </w:rPr>
        <w:t>(Probabilities are annual)</w:t>
      </w:r>
    </w:p>
    <w:tbl>
      <w:tblPr>
        <w:tblW w:w="93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1423"/>
        <w:gridCol w:w="1424"/>
        <w:gridCol w:w="1424"/>
        <w:gridCol w:w="1439"/>
      </w:tblGrid>
      <w:tr w:rsidR="00643808" w:rsidRPr="00643808" w14:paraId="6A1BC4A6" w14:textId="77777777" w:rsidTr="00F651F7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4C48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From → To</w:t>
            </w:r>
          </w:p>
        </w:tc>
        <w:tc>
          <w:tcPr>
            <w:tcW w:w="0" w:type="auto"/>
            <w:vAlign w:val="center"/>
            <w:hideMark/>
          </w:tcPr>
          <w:p w14:paraId="55F0616A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D5F1B5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7A66A33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44D7E9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D</w:t>
            </w:r>
          </w:p>
        </w:tc>
      </w:tr>
      <w:tr w:rsidR="00643808" w:rsidRPr="00643808" w14:paraId="57828016" w14:textId="77777777" w:rsidTr="00F651F7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4653FC0B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F90B2A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532E0394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274C1CE2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2DFCD4F5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0.01</w:t>
            </w:r>
          </w:p>
        </w:tc>
      </w:tr>
      <w:tr w:rsidR="00643808" w:rsidRPr="00643808" w14:paraId="1747268F" w14:textId="77777777" w:rsidTr="00F651F7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4478B7F7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364EC0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4C781BA7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36C9B1D5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14:paraId="72B7FBE3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0.03</w:t>
            </w:r>
          </w:p>
        </w:tc>
      </w:tr>
      <w:tr w:rsidR="00643808" w:rsidRPr="00643808" w14:paraId="4469A8EA" w14:textId="77777777" w:rsidTr="00F651F7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1F9EEF6D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53FA45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43B50275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122C10BB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3F8AA1B0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0.12</w:t>
            </w:r>
          </w:p>
        </w:tc>
      </w:tr>
      <w:tr w:rsidR="00643808" w:rsidRPr="00643808" w14:paraId="560BB51B" w14:textId="77777777" w:rsidTr="00F651F7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2481F9E4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95C7459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5AE84FF9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1D50F4E7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45CFF58B" w14:textId="77777777" w:rsidR="00D951E9" w:rsidRPr="00643808" w:rsidRDefault="00D951E9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0.10</w:t>
            </w:r>
          </w:p>
        </w:tc>
      </w:tr>
    </w:tbl>
    <w:p w14:paraId="3C6B84BE" w14:textId="24886264" w:rsidR="00270023" w:rsidRPr="00643808" w:rsidRDefault="00270023" w:rsidP="00BB5224">
      <w:pPr>
        <w:pStyle w:val="NormalWeb"/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>Interpretation:</w:t>
      </w:r>
    </w:p>
    <w:p w14:paraId="03D03602" w14:textId="77777777" w:rsidR="00270023" w:rsidRPr="00643808" w:rsidRDefault="00270023" w:rsidP="00BB5224">
      <w:pPr>
        <w:pStyle w:val="NormalWeb"/>
        <w:numPr>
          <w:ilvl w:val="0"/>
          <w:numId w:val="19"/>
        </w:numPr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 xml:space="preserve">Regimes are </w:t>
      </w:r>
      <w:r w:rsidRPr="00643808">
        <w:rPr>
          <w:rStyle w:val="Strong"/>
          <w:rFonts w:asciiTheme="minorBidi" w:hAnsiTheme="minorBidi" w:cstheme="minorBidi"/>
          <w:color w:val="EE0000"/>
          <w:sz w:val="20"/>
          <w:szCs w:val="20"/>
        </w:rPr>
        <w:t>persistent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t xml:space="preserve"> (5–10 year half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noBreakHyphen/>
        <w:t>lives)</w:t>
      </w:r>
    </w:p>
    <w:p w14:paraId="65B49B0E" w14:textId="77777777" w:rsidR="00270023" w:rsidRPr="00643808" w:rsidRDefault="00270023" w:rsidP="00BB5224">
      <w:pPr>
        <w:pStyle w:val="NormalWeb"/>
        <w:numPr>
          <w:ilvl w:val="0"/>
          <w:numId w:val="19"/>
        </w:numPr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 xml:space="preserve">Crisis is </w:t>
      </w:r>
      <w:r w:rsidRPr="00643808">
        <w:rPr>
          <w:rStyle w:val="Strong"/>
          <w:rFonts w:asciiTheme="minorBidi" w:hAnsiTheme="minorBidi" w:cstheme="minorBidi"/>
          <w:color w:val="EE0000"/>
          <w:sz w:val="20"/>
          <w:szCs w:val="20"/>
        </w:rPr>
        <w:t>rare but sticky</w:t>
      </w:r>
    </w:p>
    <w:p w14:paraId="5CAD47FE" w14:textId="77777777" w:rsidR="00270023" w:rsidRPr="00643808" w:rsidRDefault="00270023" w:rsidP="00BB5224">
      <w:pPr>
        <w:pStyle w:val="NormalWeb"/>
        <w:numPr>
          <w:ilvl w:val="0"/>
          <w:numId w:val="19"/>
        </w:numPr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>Stagnation is the most common “bad” regime</w:t>
      </w:r>
    </w:p>
    <w:p w14:paraId="7EAFC84A" w14:textId="2ADB1E80" w:rsidR="00BE2D33" w:rsidRPr="00643808" w:rsidRDefault="00270023" w:rsidP="00BB5224">
      <w:pPr>
        <w:pStyle w:val="NormalWeb"/>
        <w:numPr>
          <w:ilvl w:val="0"/>
          <w:numId w:val="19"/>
        </w:numPr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>High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noBreakHyphen/>
        <w:t>growth is real but not dominant</w:t>
      </w:r>
    </w:p>
    <w:p w14:paraId="332DEF3D" w14:textId="77777777" w:rsidR="00BE2D33" w:rsidRPr="00643808" w:rsidRDefault="00BE2D33" w:rsidP="00BB5224">
      <w:pPr>
        <w:jc w:val="both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br w:type="page"/>
      </w:r>
    </w:p>
    <w:p w14:paraId="74097BB1" w14:textId="393F70D4" w:rsidR="00270023" w:rsidRPr="00643808" w:rsidRDefault="00BE2D33" w:rsidP="00BB5224">
      <w:pPr>
        <w:pStyle w:val="NormalWeb"/>
        <w:jc w:val="both"/>
        <w:rPr>
          <w:rFonts w:asciiTheme="minorBidi" w:hAnsiTheme="minorBidi" w:cstheme="minorBidi"/>
          <w:b/>
          <w:bCs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b/>
          <w:bCs/>
          <w:color w:val="EE0000"/>
          <w:sz w:val="20"/>
          <w:szCs w:val="20"/>
        </w:rPr>
        <w:lastRenderedPageBreak/>
        <w:t>Valuation Mean Reversion Strength (Index</w:t>
      </w:r>
      <w:r w:rsidRPr="00643808">
        <w:rPr>
          <w:rFonts w:asciiTheme="minorBidi" w:hAnsiTheme="minorBidi" w:cstheme="minorBidi"/>
          <w:b/>
          <w:bCs/>
          <w:color w:val="EE0000"/>
          <w:sz w:val="20"/>
          <w:szCs w:val="20"/>
        </w:rPr>
        <w:noBreakHyphen/>
        <w:t>Level)</w:t>
      </w:r>
    </w:p>
    <w:tbl>
      <w:tblPr>
        <w:tblW w:w="9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600"/>
        <w:gridCol w:w="4733"/>
      </w:tblGrid>
      <w:tr w:rsidR="00643808" w:rsidRPr="00643808" w14:paraId="175AC343" w14:textId="77777777" w:rsidTr="002A34AF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517E0" w14:textId="77777777" w:rsidR="00BE2D33" w:rsidRPr="00643808" w:rsidRDefault="00BE2D3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</w:p>
          <w:p w14:paraId="6BD90D87" w14:textId="6591E921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E8DA2D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Mean Reversion Strength</w:t>
            </w:r>
          </w:p>
        </w:tc>
        <w:tc>
          <w:tcPr>
            <w:tcW w:w="0" w:type="auto"/>
            <w:vAlign w:val="center"/>
            <w:hideMark/>
          </w:tcPr>
          <w:p w14:paraId="000693A5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Notes</w:t>
            </w:r>
          </w:p>
        </w:tc>
      </w:tr>
      <w:tr w:rsidR="00643808" w:rsidRPr="00643808" w14:paraId="782B9E94" w14:textId="77777777" w:rsidTr="002A34AF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1001A7A9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P/E Ratio</w:t>
            </w:r>
          </w:p>
        </w:tc>
        <w:tc>
          <w:tcPr>
            <w:tcW w:w="0" w:type="auto"/>
            <w:vAlign w:val="center"/>
            <w:hideMark/>
          </w:tcPr>
          <w:p w14:paraId="2A89C23A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1ECE576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Anchor moves with sector mix, margins, real rates</w:t>
            </w:r>
          </w:p>
        </w:tc>
      </w:tr>
      <w:tr w:rsidR="00643808" w:rsidRPr="00643808" w14:paraId="2A259938" w14:textId="77777777" w:rsidTr="002A34AF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3C6F953F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Profit Margins</w:t>
            </w:r>
          </w:p>
        </w:tc>
        <w:tc>
          <w:tcPr>
            <w:tcW w:w="0" w:type="auto"/>
            <w:vAlign w:val="center"/>
            <w:hideMark/>
          </w:tcPr>
          <w:p w14:paraId="1FBD57A6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Weak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Moderate</w:t>
            </w:r>
          </w:p>
        </w:tc>
        <w:tc>
          <w:tcPr>
            <w:tcW w:w="0" w:type="auto"/>
            <w:vAlign w:val="center"/>
            <w:hideMark/>
          </w:tcPr>
          <w:p w14:paraId="3DD832E7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Some reversion, but structural shifts matter</w:t>
            </w:r>
          </w:p>
        </w:tc>
      </w:tr>
      <w:tr w:rsidR="00643808" w:rsidRPr="00643808" w14:paraId="02C563E4" w14:textId="77777777" w:rsidTr="002A34AF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7F73AFE3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Earnings Growth</w:t>
            </w:r>
          </w:p>
        </w:tc>
        <w:tc>
          <w:tcPr>
            <w:tcW w:w="0" w:type="auto"/>
            <w:vAlign w:val="center"/>
            <w:hideMark/>
          </w:tcPr>
          <w:p w14:paraId="142FA0A9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Regime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dependent</w:t>
            </w:r>
          </w:p>
        </w:tc>
        <w:tc>
          <w:tcPr>
            <w:tcW w:w="0" w:type="auto"/>
            <w:vAlign w:val="center"/>
            <w:hideMark/>
          </w:tcPr>
          <w:p w14:paraId="02333D5A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High in A, moderate in B, weak in C</w:t>
            </w:r>
          </w:p>
        </w:tc>
      </w:tr>
      <w:tr w:rsidR="00643808" w:rsidRPr="00643808" w14:paraId="1137293B" w14:textId="77777777" w:rsidTr="002A34AF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6995CC2A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32C649C9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C0970BE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Vol always mean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reverts (Heston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type)</w:t>
            </w:r>
          </w:p>
        </w:tc>
      </w:tr>
      <w:tr w:rsidR="00643808" w:rsidRPr="00643808" w14:paraId="177F9D54" w14:textId="77777777" w:rsidTr="002A34AF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0C3567D2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77DC9D48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Very weak</w:t>
            </w:r>
          </w:p>
        </w:tc>
        <w:tc>
          <w:tcPr>
            <w:tcW w:w="0" w:type="auto"/>
            <w:vAlign w:val="center"/>
            <w:hideMark/>
          </w:tcPr>
          <w:p w14:paraId="658AC39F" w14:textId="77777777" w:rsidR="00270023" w:rsidRPr="00643808" w:rsidRDefault="00270023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Drift uncertainty dominates over 30 years</w:t>
            </w:r>
          </w:p>
        </w:tc>
      </w:tr>
    </w:tbl>
    <w:p w14:paraId="4CF7E054" w14:textId="77777777" w:rsidR="00551BD3" w:rsidRPr="00643808" w:rsidRDefault="00551BD3" w:rsidP="00BB5224">
      <w:pPr>
        <w:jc w:val="both"/>
        <w:rPr>
          <w:rFonts w:asciiTheme="minorBidi" w:hAnsiTheme="minorBidi" w:cstheme="minorBidi"/>
          <w:color w:val="EE0000"/>
          <w:sz w:val="20"/>
          <w:szCs w:val="20"/>
        </w:rPr>
      </w:pPr>
    </w:p>
    <w:p w14:paraId="533D764B" w14:textId="77777777" w:rsidR="009B3BF7" w:rsidRPr="00643808" w:rsidRDefault="00551BD3" w:rsidP="00BB5224">
      <w:pPr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>Index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noBreakHyphen/>
        <w:t>level valuation reversion is too weak to constrain 30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noBreakHyphen/>
        <w:t>year outcomes.</w:t>
      </w:r>
    </w:p>
    <w:p w14:paraId="486FEACF" w14:textId="77EFF203" w:rsidR="00551BD3" w:rsidRPr="00643808" w:rsidRDefault="00551BD3" w:rsidP="00BB5224">
      <w:pPr>
        <w:jc w:val="both"/>
        <w:rPr>
          <w:rFonts w:asciiTheme="minorBidi" w:hAnsiTheme="minorBidi" w:cstheme="minorBidi"/>
          <w:color w:val="EE0000"/>
          <w:sz w:val="20"/>
          <w:szCs w:val="20"/>
        </w:rPr>
      </w:pPr>
    </w:p>
    <w:p w14:paraId="158609E0" w14:textId="27423C97" w:rsidR="00551BD3" w:rsidRPr="00643808" w:rsidRDefault="00551BD3" w:rsidP="00BB5224">
      <w:pPr>
        <w:jc w:val="both"/>
        <w:rPr>
          <w:rFonts w:asciiTheme="minorBidi" w:hAnsiTheme="minorBidi" w:cstheme="minorBidi"/>
          <w:b/>
          <w:bCs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b/>
          <w:bCs/>
          <w:color w:val="EE0000"/>
          <w:sz w:val="20"/>
          <w:szCs w:val="20"/>
        </w:rPr>
        <w:t>Tail</w:t>
      </w:r>
      <w:r w:rsidRPr="00643808">
        <w:rPr>
          <w:rFonts w:asciiTheme="minorBidi" w:hAnsiTheme="minorBidi" w:cstheme="minorBidi"/>
          <w:b/>
          <w:bCs/>
          <w:color w:val="EE0000"/>
          <w:sz w:val="20"/>
          <w:szCs w:val="20"/>
        </w:rPr>
        <w:noBreakHyphen/>
        <w:t>Risk Structure (Mixture Distribution)</w:t>
      </w:r>
    </w:p>
    <w:p w14:paraId="345D9B69" w14:textId="77777777" w:rsidR="009B3BF7" w:rsidRPr="00643808" w:rsidRDefault="009B3BF7" w:rsidP="00BB5224">
      <w:pPr>
        <w:jc w:val="both"/>
        <w:rPr>
          <w:rFonts w:asciiTheme="minorBidi" w:hAnsiTheme="minorBidi" w:cstheme="minorBidi"/>
          <w:color w:val="EE0000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551"/>
        <w:gridCol w:w="2343"/>
      </w:tblGrid>
      <w:tr w:rsidR="00643808" w:rsidRPr="00643808" w14:paraId="0A048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F91C0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Tail Driver</w:t>
            </w:r>
          </w:p>
        </w:tc>
        <w:tc>
          <w:tcPr>
            <w:tcW w:w="0" w:type="auto"/>
            <w:vAlign w:val="center"/>
            <w:hideMark/>
          </w:tcPr>
          <w:p w14:paraId="763763E4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46000675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Notes</w:t>
            </w:r>
          </w:p>
        </w:tc>
      </w:tr>
      <w:tr w:rsidR="00643808" w:rsidRPr="00643808" w14:paraId="618C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D542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 D (crisis)</w:t>
            </w:r>
          </w:p>
        </w:tc>
        <w:tc>
          <w:tcPr>
            <w:tcW w:w="0" w:type="auto"/>
            <w:vAlign w:val="center"/>
            <w:hideMark/>
          </w:tcPr>
          <w:p w14:paraId="6BEF4507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Left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tail fattening</w:t>
            </w:r>
          </w:p>
        </w:tc>
        <w:tc>
          <w:tcPr>
            <w:tcW w:w="0" w:type="auto"/>
            <w:vAlign w:val="center"/>
            <w:hideMark/>
          </w:tcPr>
          <w:p w14:paraId="553807B7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1–2 events per 30 years</w:t>
            </w:r>
          </w:p>
        </w:tc>
      </w:tr>
      <w:tr w:rsidR="00643808" w:rsidRPr="00643808" w14:paraId="102C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2EDA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 C persistence</w:t>
            </w:r>
          </w:p>
        </w:tc>
        <w:tc>
          <w:tcPr>
            <w:tcW w:w="0" w:type="auto"/>
            <w:vAlign w:val="center"/>
            <w:hideMark/>
          </w:tcPr>
          <w:p w14:paraId="7492569B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Slow compounding drag</w:t>
            </w:r>
          </w:p>
        </w:tc>
        <w:tc>
          <w:tcPr>
            <w:tcW w:w="0" w:type="auto"/>
            <w:vAlign w:val="center"/>
            <w:hideMark/>
          </w:tcPr>
          <w:p w14:paraId="2D116A6D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Biggest long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run risk</w:t>
            </w:r>
          </w:p>
        </w:tc>
      </w:tr>
      <w:tr w:rsidR="00643808" w:rsidRPr="00643808" w14:paraId="729A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FF28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Regime A persistence</w:t>
            </w:r>
          </w:p>
        </w:tc>
        <w:tc>
          <w:tcPr>
            <w:tcW w:w="0" w:type="auto"/>
            <w:vAlign w:val="center"/>
            <w:hideMark/>
          </w:tcPr>
          <w:p w14:paraId="57DF71EE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Right</w:t>
            </w: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noBreakHyphen/>
              <w:t>tail fattening</w:t>
            </w:r>
          </w:p>
        </w:tc>
        <w:tc>
          <w:tcPr>
            <w:tcW w:w="0" w:type="auto"/>
            <w:vAlign w:val="center"/>
            <w:hideMark/>
          </w:tcPr>
          <w:p w14:paraId="32228D7B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Productivity booms</w:t>
            </w:r>
          </w:p>
        </w:tc>
      </w:tr>
      <w:tr w:rsidR="00643808" w:rsidRPr="00643808" w14:paraId="6994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62E9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b/>
                <w:bCs/>
                <w:color w:val="EE0000"/>
                <w:sz w:val="20"/>
                <w:szCs w:val="20"/>
                <w:lang w:val="en-GB" w:eastAsia="zh-CN"/>
              </w:rPr>
              <w:t>Transition asymmetry</w:t>
            </w:r>
          </w:p>
        </w:tc>
        <w:tc>
          <w:tcPr>
            <w:tcW w:w="0" w:type="auto"/>
            <w:vAlign w:val="center"/>
            <w:hideMark/>
          </w:tcPr>
          <w:p w14:paraId="08A13FEB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Downside transitions faster than upside</w:t>
            </w:r>
          </w:p>
        </w:tc>
        <w:tc>
          <w:tcPr>
            <w:tcW w:w="0" w:type="auto"/>
            <w:vAlign w:val="center"/>
            <w:hideMark/>
          </w:tcPr>
          <w:p w14:paraId="2D1DC17C" w14:textId="77777777" w:rsidR="00D953D7" w:rsidRPr="00643808" w:rsidRDefault="00D953D7" w:rsidP="00BB5224">
            <w:pPr>
              <w:widowControl/>
              <w:autoSpaceDE/>
              <w:autoSpaceDN/>
              <w:jc w:val="both"/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</w:pPr>
            <w:r w:rsidRPr="00643808">
              <w:rPr>
                <w:rFonts w:asciiTheme="minorBidi" w:eastAsia="Times New Roman" w:hAnsiTheme="minorBidi" w:cstheme="minorBidi"/>
                <w:color w:val="EE0000"/>
                <w:sz w:val="20"/>
                <w:szCs w:val="20"/>
                <w:lang w:val="en-GB" w:eastAsia="zh-CN"/>
              </w:rPr>
              <w:t>Realistic macro dynamics</w:t>
            </w:r>
          </w:p>
        </w:tc>
      </w:tr>
    </w:tbl>
    <w:p w14:paraId="1124A346" w14:textId="77777777" w:rsidR="009B3BF7" w:rsidRPr="00643808" w:rsidRDefault="009B3BF7" w:rsidP="00BB5224">
      <w:pPr>
        <w:jc w:val="both"/>
        <w:rPr>
          <w:rFonts w:asciiTheme="minorBidi" w:hAnsiTheme="minorBidi" w:cstheme="minorBidi"/>
          <w:color w:val="EE0000"/>
          <w:sz w:val="20"/>
          <w:szCs w:val="20"/>
        </w:rPr>
      </w:pPr>
    </w:p>
    <w:p w14:paraId="4961456D" w14:textId="3230F0CD" w:rsidR="00D953D7" w:rsidRPr="00643808" w:rsidRDefault="00D953D7" w:rsidP="00BB5224">
      <w:pPr>
        <w:jc w:val="both"/>
        <w:rPr>
          <w:rFonts w:asciiTheme="minorBidi" w:hAnsiTheme="minorBidi" w:cstheme="minorBidi"/>
          <w:color w:val="EE0000"/>
          <w:sz w:val="20"/>
          <w:szCs w:val="20"/>
        </w:rPr>
      </w:pPr>
      <w:r w:rsidRPr="00643808">
        <w:rPr>
          <w:rFonts w:asciiTheme="minorBidi" w:hAnsiTheme="minorBidi" w:cstheme="minorBidi"/>
          <w:color w:val="EE0000"/>
          <w:sz w:val="20"/>
          <w:szCs w:val="20"/>
        </w:rPr>
        <w:t xml:space="preserve">This produces a </w:t>
      </w:r>
      <w:r w:rsidRPr="00643808">
        <w:rPr>
          <w:rStyle w:val="Strong"/>
          <w:rFonts w:asciiTheme="minorBidi" w:hAnsiTheme="minorBidi" w:cstheme="minorBidi"/>
          <w:b w:val="0"/>
          <w:bCs w:val="0"/>
          <w:color w:val="EE0000"/>
          <w:sz w:val="20"/>
          <w:szCs w:val="20"/>
        </w:rPr>
        <w:t>mixture of lognormals</w:t>
      </w:r>
      <w:r w:rsidRPr="00643808">
        <w:rPr>
          <w:rFonts w:asciiTheme="minorBidi" w:hAnsiTheme="minorBidi" w:cstheme="minorBidi"/>
          <w:b/>
          <w:bCs/>
          <w:color w:val="EE0000"/>
          <w:sz w:val="20"/>
          <w:szCs w:val="20"/>
        </w:rPr>
        <w:t>,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t xml:space="preserve"> not a single lognormal</w:t>
      </w:r>
      <w:r w:rsidR="003A68BF" w:rsidRPr="00643808">
        <w:rPr>
          <w:rFonts w:asciiTheme="minorBidi" w:hAnsiTheme="minorBidi" w:cstheme="minorBidi"/>
          <w:color w:val="EE0000"/>
          <w:sz w:val="20"/>
          <w:szCs w:val="20"/>
        </w:rPr>
        <w:t>, needed</w:t>
      </w:r>
      <w:r w:rsidRPr="00643808">
        <w:rPr>
          <w:rFonts w:asciiTheme="minorBidi" w:hAnsiTheme="minorBidi" w:cstheme="minorBidi"/>
          <w:color w:val="EE0000"/>
          <w:sz w:val="20"/>
          <w:szCs w:val="20"/>
        </w:rPr>
        <w:t xml:space="preserve"> for shortfall modelling.</w:t>
      </w:r>
    </w:p>
    <w:p w14:paraId="6876328B" w14:textId="11B8FDB7" w:rsidR="002F1AC1" w:rsidRPr="003A68BF" w:rsidRDefault="002F1AC1" w:rsidP="003A68BF">
      <w:pPr>
        <w:widowControl/>
        <w:autoSpaceDE/>
        <w:autoSpaceDN/>
        <w:spacing w:before="100" w:beforeAutospacing="1" w:after="100" w:afterAutospacing="1"/>
        <w:outlineLvl w:val="0"/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</w:pPr>
      <w:r w:rsidRPr="003A68BF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t xml:space="preserve">Interpretation Layer </w:t>
      </w:r>
    </w:p>
    <w:p w14:paraId="197DDD22" w14:textId="1C9B659D" w:rsidR="002F1AC1" w:rsidRPr="00643808" w:rsidRDefault="002F1AC1" w:rsidP="002F1AC1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Why </w:t>
      </w:r>
      <w:r w:rsidR="00BD71A1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the</w:t>
      </w:r>
      <w:r w:rsidR="003A68BF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selected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model is appropriate</w:t>
      </w:r>
      <w:r w:rsidR="00CD5C45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(Shevchenko)</w:t>
      </w:r>
    </w:p>
    <w:p w14:paraId="0C9924A4" w14:textId="77777777" w:rsidR="002F1AC1" w:rsidRPr="00643808" w:rsidRDefault="002F1AC1" w:rsidP="002F1AC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Captures structural breaks</w:t>
      </w:r>
    </w:p>
    <w:p w14:paraId="6A1F5F66" w14:textId="77777777" w:rsidR="002F1AC1" w:rsidRPr="00643808" w:rsidRDefault="002F1AC1" w:rsidP="002F1AC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Captures drift uncertainty</w:t>
      </w:r>
    </w:p>
    <w:p w14:paraId="509BB242" w14:textId="77777777" w:rsidR="002F1AC1" w:rsidRPr="00643808" w:rsidRDefault="002F1AC1" w:rsidP="002F1AC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Captures volatility clustering</w:t>
      </w:r>
    </w:p>
    <w:p w14:paraId="00125E87" w14:textId="77777777" w:rsidR="002F1AC1" w:rsidRPr="00643808" w:rsidRDefault="002F1AC1" w:rsidP="002F1AC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Captures fat tails</w:t>
      </w:r>
    </w:p>
    <w:p w14:paraId="5BC11EA2" w14:textId="77777777" w:rsidR="002F1AC1" w:rsidRPr="00643808" w:rsidRDefault="002F1AC1" w:rsidP="002F1AC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Avoids false assumptions of mean reversion in index returns</w:t>
      </w:r>
    </w:p>
    <w:p w14:paraId="1AC11289" w14:textId="77777777" w:rsidR="002F1AC1" w:rsidRPr="00643808" w:rsidRDefault="002F1AC1" w:rsidP="002F1AC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Matches 100+ years of S&amp;P behaviour</w:t>
      </w:r>
    </w:p>
    <w:p w14:paraId="7BF0BF2C" w14:textId="77777777" w:rsidR="002F1AC1" w:rsidRPr="00643808" w:rsidRDefault="002F1AC1" w:rsidP="002F1AC1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This is the institutional standard for long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horizon equity modelling.</w:t>
      </w:r>
    </w:p>
    <w:p w14:paraId="5304ED9C" w14:textId="250E1FB4" w:rsidR="00DA6871" w:rsidRDefault="00DA6871" w:rsidP="002F1AC1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What this means for the volatility control layer</w:t>
      </w:r>
      <w:r w:rsidR="00A476F4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(BlackRock)</w:t>
      </w:r>
    </w:p>
    <w:p w14:paraId="4D3FA4AC" w14:textId="3C2D9BB3" w:rsidR="004B4E26" w:rsidRDefault="00634C98" w:rsidP="00A476F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Volatility control </w:t>
      </w:r>
      <w:r w:rsidR="004B4E26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applies an index diversification strategy</w:t>
      </w:r>
    </w:p>
    <w:p w14:paraId="6DAE7E3C" w14:textId="77777777" w:rsidR="004D6E4D" w:rsidRDefault="004B4E26" w:rsidP="00A476F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S&amp;P500 Index always remains the dominate index</w:t>
      </w:r>
    </w:p>
    <w:p w14:paraId="3622964E" w14:textId="4D387042" w:rsidR="00A476F4" w:rsidRDefault="004D6E4D" w:rsidP="00A476F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Other indices </w:t>
      </w:r>
      <w:r w:rsidR="000C718A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selected</w:t>
      </w: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demonstrate a correlation to the S&amp;P500</w:t>
      </w:r>
    </w:p>
    <w:p w14:paraId="4DCAF3D4" w14:textId="6AEA2DC4" w:rsidR="000C718A" w:rsidRDefault="00412D1D" w:rsidP="00A476F4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 periods of economic downturn or global instability that correlation moves toward 1.0</w:t>
      </w:r>
    </w:p>
    <w:p w14:paraId="37C198BC" w14:textId="122F43E0" w:rsidR="00D33409" w:rsidRPr="00643808" w:rsidRDefault="00675C57" w:rsidP="00D33409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Volatility</w:t>
      </w:r>
      <w:r w:rsidR="00D33409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control is effective in reducing portfolio volatility </w:t>
      </w:r>
      <w:r w:rsidR="004931F4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f</w:t>
      </w: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ro</w:t>
      </w:r>
      <w:r w:rsidR="004931F4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m </w:t>
      </w: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16.6% under the model down to 12.3% under normal market conditions.  </w:t>
      </w:r>
      <w:r w:rsidR="00266EE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In </w:t>
      </w:r>
      <w:r w:rsidR="00BF755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economic downturns and </w:t>
      </w:r>
      <w:r w:rsidR="008270D9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deteriorating</w:t>
      </w:r>
      <w:r w:rsidR="00266EE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="00BF755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global</w:t>
      </w:r>
      <w:r w:rsidR="00266EE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conditions the volatility control layer </w:t>
      </w:r>
      <w:r w:rsidR="008270D9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becomes less e</w:t>
      </w:r>
      <w:r w:rsidR="0035438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ffective as the correlation between the selected indices and the S&amp;P500 </w:t>
      </w:r>
      <w:r w:rsidR="00BF755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increa</w:t>
      </w:r>
      <w:r w:rsidR="00064CCD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</w:t>
      </w:r>
      <w:r w:rsidR="00BF755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es.</w:t>
      </w:r>
    </w:p>
    <w:p w14:paraId="68386D45" w14:textId="1E02E96A" w:rsidR="002F1AC1" w:rsidRPr="00643808" w:rsidRDefault="002F1AC1" w:rsidP="002F1AC1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What this means for </w:t>
      </w:r>
      <w:r w:rsidR="00BD71A1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the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30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 xml:space="preserve">year hedging </w:t>
      </w:r>
      <w:r w:rsidR="003A68BF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strategy</w:t>
      </w:r>
      <w:r w:rsidR="00A476F4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(SpiderRock)</w:t>
      </w:r>
    </w:p>
    <w:p w14:paraId="57C4CD47" w14:textId="68398B60" w:rsidR="002F1AC1" w:rsidRPr="00643808" w:rsidRDefault="002F1AC1" w:rsidP="002F1AC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Hedge cost is regime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dependent, not constant</w:t>
      </w:r>
      <w:r w:rsidR="00277E17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(3 year re-sets)</w:t>
      </w:r>
    </w:p>
    <w:p w14:paraId="3403F522" w14:textId="77777777" w:rsidR="002F1AC1" w:rsidRPr="00643808" w:rsidRDefault="002F1AC1" w:rsidP="002F1AC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Shortfall risk is dominated by Regime C persistence, not crises</w:t>
      </w:r>
    </w:p>
    <w:p w14:paraId="16DFF91D" w14:textId="77777777" w:rsidR="002F1AC1" w:rsidRPr="00643808" w:rsidRDefault="002F1AC1" w:rsidP="002F1AC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Valuation signals are weak at 30 years</w:t>
      </w:r>
    </w:p>
    <w:p w14:paraId="29648642" w14:textId="77777777" w:rsidR="002F1AC1" w:rsidRPr="00643808" w:rsidRDefault="002F1AC1" w:rsidP="002F1AC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Volatility mean reversion helps hedge timing</w:t>
      </w:r>
    </w:p>
    <w:p w14:paraId="107F58B6" w14:textId="77777777" w:rsidR="002F1AC1" w:rsidRPr="00643808" w:rsidRDefault="002F1AC1" w:rsidP="002F1AC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Drift uncertainty is the primary driver of terminal wealth dispersion</w:t>
      </w:r>
    </w:p>
    <w:p w14:paraId="007B0394" w14:textId="6A0BAA7E" w:rsidR="002F1AC1" w:rsidRPr="00643808" w:rsidRDefault="002F1AC1" w:rsidP="002F1AC1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lastRenderedPageBreak/>
        <w:t xml:space="preserve">This is </w:t>
      </w:r>
      <w:r w:rsidR="007751A5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why </w:t>
      </w:r>
      <w:r w:rsidR="00C96CD0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hedge program should be:</w:t>
      </w:r>
    </w:p>
    <w:p w14:paraId="08225599" w14:textId="2A64B226" w:rsidR="007751A5" w:rsidRPr="00643808" w:rsidRDefault="0045707D" w:rsidP="002F1AC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 c</w:t>
      </w:r>
      <w:r w:rsidR="007751A5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ontinuous dynamic hedgi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n</w:t>
      </w:r>
      <w:r w:rsidR="007751A5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g program</w:t>
      </w:r>
    </w:p>
    <w:p w14:paraId="0A4506DB" w14:textId="29F351B3" w:rsidR="002F1AC1" w:rsidRPr="00643808" w:rsidRDefault="00CD5C45" w:rsidP="002F1AC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ules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</w:t>
      </w:r>
    </w:p>
    <w:p w14:paraId="1524BAFB" w14:textId="76921285" w:rsidR="002F1AC1" w:rsidRPr="00643808" w:rsidRDefault="0045707D" w:rsidP="002F1AC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egime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aware</w:t>
      </w:r>
    </w:p>
    <w:p w14:paraId="3D25EFBC" w14:textId="44C1557A" w:rsidR="002F1AC1" w:rsidRPr="00643808" w:rsidRDefault="0045707D" w:rsidP="002F1AC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ost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efficient</w:t>
      </w:r>
    </w:p>
    <w:p w14:paraId="736AD87F" w14:textId="47F8F5D2" w:rsidR="002F1AC1" w:rsidRPr="00643808" w:rsidRDefault="0045707D" w:rsidP="002F1AC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F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ocused on left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tail truncation,</w:t>
      </w:r>
      <w:r w:rsidR="007751A5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not valuation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timing</w:t>
      </w:r>
    </w:p>
    <w:p w14:paraId="68391032" w14:textId="77777777" w:rsidR="0045707D" w:rsidRPr="00643808" w:rsidRDefault="0045707D" w:rsidP="0045707D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F</w:t>
      </w:r>
      <w:r w:rsidR="002F1AC1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ull 30</w:t>
      </w:r>
      <w:r w:rsidR="002F1AC1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year shortfall distribution simulation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</w:t>
      </w:r>
    </w:p>
    <w:p w14:paraId="5F1BAABC" w14:textId="4FEA84CC" w:rsidR="002F1AC1" w:rsidRPr="00643808" w:rsidRDefault="0045707D" w:rsidP="0045707D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Us</w:t>
      </w:r>
      <w:r w:rsidR="002F1AC1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ing these assumptions, including:</w:t>
      </w:r>
    </w:p>
    <w:p w14:paraId="4371E163" w14:textId="77777777" w:rsidR="002F1AC1" w:rsidRPr="00643808" w:rsidRDefault="002F1AC1" w:rsidP="002F1AC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10,000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path Monte Carlo</w:t>
      </w:r>
    </w:p>
    <w:p w14:paraId="02E06CCF" w14:textId="77777777" w:rsidR="002F1AC1" w:rsidRPr="00643808" w:rsidRDefault="002F1AC1" w:rsidP="002F1AC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Regime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switching drift</w:t>
      </w:r>
    </w:p>
    <w:p w14:paraId="76BAEC81" w14:textId="77777777" w:rsidR="002F1AC1" w:rsidRPr="00643808" w:rsidRDefault="002F1AC1" w:rsidP="002F1AC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Mean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reverting volatility</w:t>
      </w:r>
    </w:p>
    <w:p w14:paraId="7C10109D" w14:textId="77777777" w:rsidR="002F1AC1" w:rsidRPr="00643808" w:rsidRDefault="002F1AC1" w:rsidP="002F1AC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Crisis shock modelling</w:t>
      </w:r>
    </w:p>
    <w:p w14:paraId="0F5A62A1" w14:textId="77777777" w:rsidR="002F1AC1" w:rsidRPr="00643808" w:rsidRDefault="002F1AC1" w:rsidP="002F1AC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Hedge overlay cost impact</w:t>
      </w:r>
    </w:p>
    <w:p w14:paraId="19867D41" w14:textId="77777777" w:rsidR="002F1AC1" w:rsidRPr="00643808" w:rsidRDefault="002F1AC1" w:rsidP="002F1AC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Probability of breaching your target floor</w:t>
      </w:r>
    </w:p>
    <w:p w14:paraId="08908784" w14:textId="70F45A0D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Terminal wealth distribution (30 years, start = 1.0)</w:t>
      </w:r>
    </w:p>
    <w:p w14:paraId="2BAB7F50" w14:textId="77777777" w:rsidR="008A1154" w:rsidRPr="00643808" w:rsidRDefault="008A1154" w:rsidP="008A115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5th percentile: 0.35</w:t>
      </w:r>
    </w:p>
    <w:p w14:paraId="6D3FE7EB" w14:textId="77777777" w:rsidR="008A1154" w:rsidRPr="00643808" w:rsidRDefault="008A1154" w:rsidP="008A115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25th percentile: 1.30</w:t>
      </w:r>
    </w:p>
    <w:p w14:paraId="47B103A1" w14:textId="77777777" w:rsidR="008A1154" w:rsidRPr="00643808" w:rsidRDefault="008A1154" w:rsidP="008A115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Median (50th): 2.91</w:t>
      </w:r>
    </w:p>
    <w:p w14:paraId="6CE508A2" w14:textId="77777777" w:rsidR="008A1154" w:rsidRPr="00643808" w:rsidRDefault="008A1154" w:rsidP="008A115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75th percentile: 6.27</w:t>
      </w:r>
    </w:p>
    <w:p w14:paraId="29892431" w14:textId="77777777" w:rsidR="008A1154" w:rsidRPr="00643808" w:rsidRDefault="008A1154" w:rsidP="008A115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95th percentile: 16.74</w:t>
      </w:r>
    </w:p>
    <w:p w14:paraId="0D3E30AA" w14:textId="086CF15E" w:rsidR="008A1154" w:rsidRPr="00643808" w:rsidRDefault="00C96CD0" w:rsidP="008A115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Result</w:t>
      </w:r>
      <w:r w:rsidR="008A1154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: plausible range is roughly 0.35–16.7, with a central mass around 1.3–6.3.</w:t>
      </w:r>
    </w:p>
    <w:p w14:paraId="417B7D41" w14:textId="32CDD8E4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Shortfall probabilities at year 30</w:t>
      </w:r>
    </w:p>
    <w:p w14:paraId="3980FF08" w14:textId="77777777" w:rsidR="008A1154" w:rsidRPr="00643808" w:rsidRDefault="008A1154" w:rsidP="008A1154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P(terminal wealth &lt; 0.5): 8.1%</w:t>
      </w:r>
    </w:p>
    <w:p w14:paraId="24C49646" w14:textId="77777777" w:rsidR="008A1154" w:rsidRPr="00643808" w:rsidRDefault="008A1154" w:rsidP="008A1154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P(&lt; 0.75): 13.8%</w:t>
      </w:r>
    </w:p>
    <w:p w14:paraId="24C5B008" w14:textId="77777777" w:rsidR="008A1154" w:rsidRPr="00643808" w:rsidRDefault="008A1154" w:rsidP="008A1154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P(&lt; 1.0): 19.2%</w:t>
      </w:r>
    </w:p>
    <w:p w14:paraId="4EFEEA03" w14:textId="77777777" w:rsidR="008A1154" w:rsidRPr="00643808" w:rsidRDefault="008A1154" w:rsidP="008A1154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P(&lt; 1.5): 28.9%</w:t>
      </w:r>
    </w:p>
    <w:p w14:paraId="24645D64" w14:textId="77777777" w:rsidR="008A1154" w:rsidRPr="00643808" w:rsidRDefault="008A1154" w:rsidP="008A1154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P(&lt; 2.0): 37.5%</w:t>
      </w:r>
    </w:p>
    <w:p w14:paraId="395F992C" w14:textId="33EE9C82" w:rsidR="008A1154" w:rsidRPr="00643808" w:rsidRDefault="00FD4870" w:rsidP="008A115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If 1.0 is the floor there would be </w:t>
      </w:r>
      <w:r w:rsidR="008A1154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a </w:t>
      </w:r>
      <w:r w:rsidR="008A1154"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1</w:t>
      </w:r>
      <w:r w:rsidR="008A1154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-in-5 chance you don’t grow capital at all in real terms.</w:t>
      </w:r>
    </w:p>
    <w:p w14:paraId="1C7F2D63" w14:textId="68EF6DE8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Regime persistence in “bad states”</w:t>
      </w:r>
    </w:p>
    <w:p w14:paraId="55FCDF38" w14:textId="77777777" w:rsidR="008A1154" w:rsidRPr="00643808" w:rsidRDefault="008A1154" w:rsidP="008A1154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Fraction of paths with ≥10 of 30 years in C or D: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48.97%</w:t>
      </w:r>
    </w:p>
    <w:p w14:paraId="610C4048" w14:textId="77777777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Almost half of all paths spend at least a third of the horizon in stagnation or crisis.</w:t>
      </w:r>
    </w:p>
    <w:p w14:paraId="76577716" w14:textId="252DA625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 xml:space="preserve"> What drives the left tail</w:t>
      </w:r>
    </w:p>
    <w:p w14:paraId="14807716" w14:textId="77777777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 simulation’s own summary:</w:t>
      </w:r>
    </w:p>
    <w:p w14:paraId="1F6556A5" w14:textId="77777777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Left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tail outcomes are primarily driven by persistent stagnation (Regime C) and severe crisis shocks (Regime D).</w:t>
      </w:r>
    </w:p>
    <w:p w14:paraId="0DB9AEA4" w14:textId="77777777" w:rsidR="008A1154" w:rsidRPr="00643808" w:rsidRDefault="008A1154" w:rsidP="008A115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Translated:</w:t>
      </w:r>
    </w:p>
    <w:p w14:paraId="276D93FC" w14:textId="304D0F70" w:rsidR="008A1154" w:rsidRPr="00643808" w:rsidRDefault="008A1154" w:rsidP="008A1154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It’s not just one big crisis that </w:t>
      </w:r>
      <w:r w:rsidR="001076C6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becomes a problem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.</w:t>
      </w:r>
    </w:p>
    <w:p w14:paraId="31D2EC2F" w14:textId="77777777" w:rsidR="008A1154" w:rsidRPr="00643808" w:rsidRDefault="008A1154" w:rsidP="008A1154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It’s long stretches of mediocre/stagnant regimes, occasionally punctuated by crisis years.</w:t>
      </w:r>
    </w:p>
    <w:p w14:paraId="4F7E1BC7" w14:textId="2B4EAC87" w:rsidR="00950D7A" w:rsidRPr="00643808" w:rsidRDefault="00920A4C" w:rsidP="008A1154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lastRenderedPageBreak/>
        <w:t>The continuous dynamic hedging program used for the EPM (S</w:t>
      </w:r>
      <w:r w:rsidR="008A416A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iderRock) </w:t>
      </w:r>
      <w:r w:rsidR="00950D7A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is:</w:t>
      </w:r>
    </w:p>
    <w:p w14:paraId="6E41D9A9" w14:textId="77777777" w:rsidR="00950D7A" w:rsidRPr="00643808" w:rsidRDefault="00950D7A" w:rsidP="00950D7A">
      <w:pPr>
        <w:pStyle w:val="ListParagraph"/>
        <w:widowControl/>
        <w:numPr>
          <w:ilvl w:val="0"/>
          <w:numId w:val="8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Index collar strategy</w:t>
      </w:r>
    </w:p>
    <w:p w14:paraId="56549042" w14:textId="52547DB6" w:rsidR="00950D7A" w:rsidRPr="00643808" w:rsidRDefault="00950D7A" w:rsidP="00950D7A">
      <w:pPr>
        <w:pStyle w:val="ListParagraph"/>
        <w:widowControl/>
        <w:numPr>
          <w:ilvl w:val="0"/>
          <w:numId w:val="8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Short terms put</w:t>
      </w:r>
      <w:r w:rsidR="008A416A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options / 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Long-term call</w:t>
      </w:r>
      <w:r w:rsidR="008A416A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option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</w:t>
      </w:r>
    </w:p>
    <w:p w14:paraId="1711C369" w14:textId="17EA4304" w:rsidR="00BD78B3" w:rsidRPr="00643808" w:rsidRDefault="00950D7A" w:rsidP="00950D7A">
      <w:pPr>
        <w:pStyle w:val="ListParagraph"/>
        <w:widowControl/>
        <w:numPr>
          <w:ilvl w:val="0"/>
          <w:numId w:val="8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140</w:t>
      </w:r>
      <w:r w:rsidR="00BD78B3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% cap</w:t>
      </w:r>
    </w:p>
    <w:p w14:paraId="5401A61C" w14:textId="3448D8D3" w:rsidR="00BD78B3" w:rsidRPr="00643808" w:rsidRDefault="00BD78B3" w:rsidP="00950D7A">
      <w:pPr>
        <w:pStyle w:val="ListParagraph"/>
        <w:widowControl/>
        <w:numPr>
          <w:ilvl w:val="0"/>
          <w:numId w:val="8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80% flo</w:t>
      </w:r>
      <w:r w:rsidR="008A416A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 (0.80)</w:t>
      </w:r>
    </w:p>
    <w:p w14:paraId="50C57AEB" w14:textId="5B89DB88" w:rsidR="008A1154" w:rsidRPr="00643808" w:rsidRDefault="00EF6653" w:rsidP="00BD78B3">
      <w:pPr>
        <w:widowControl/>
        <w:autoSpaceDE/>
        <w:autoSpaceDN/>
        <w:spacing w:before="100" w:beforeAutospacing="1" w:after="100" w:afterAutospacing="1"/>
        <w:ind w:left="360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Below is a</w:t>
      </w:r>
      <w:r w:rsidR="008A1154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="008A1154" w:rsidRPr="00643808">
        <w:rPr>
          <w:rFonts w:asciiTheme="minorBidi" w:eastAsia="Times New Roman" w:hAnsiTheme="minorBidi" w:cstheme="minorBidi"/>
          <w:i/>
          <w:iCs/>
          <w:color w:val="EE0000"/>
          <w:sz w:val="20"/>
          <w:szCs w:val="20"/>
          <w:lang w:val="en-GB" w:eastAsia="zh-CN"/>
        </w:rPr>
        <w:t>hedge</w:t>
      </w:r>
      <w:r w:rsidR="008A1154" w:rsidRPr="00643808">
        <w:rPr>
          <w:rFonts w:asciiTheme="minorBidi" w:eastAsia="Times New Roman" w:hAnsiTheme="minorBidi" w:cstheme="minorBidi"/>
          <w:i/>
          <w:iCs/>
          <w:color w:val="EE0000"/>
          <w:sz w:val="20"/>
          <w:szCs w:val="20"/>
          <w:lang w:val="en-GB" w:eastAsia="zh-CN"/>
        </w:rPr>
        <w:noBreakHyphen/>
        <w:t>cost vs shortfall</w:t>
      </w:r>
      <w:r w:rsidR="008A1154" w:rsidRPr="00643808">
        <w:rPr>
          <w:rFonts w:asciiTheme="minorBidi" w:eastAsia="Times New Roman" w:hAnsiTheme="minorBidi" w:cstheme="minorBidi"/>
          <w:i/>
          <w:iCs/>
          <w:color w:val="EE0000"/>
          <w:sz w:val="20"/>
          <w:szCs w:val="20"/>
          <w:lang w:val="en-GB" w:eastAsia="zh-CN"/>
        </w:rPr>
        <w:noBreakHyphen/>
        <w:t>probability table</w:t>
      </w:r>
      <w:r w:rsidR="008A1154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based on the</w:t>
      </w:r>
      <w:r w:rsidR="008F2B5A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parameter</w:t>
      </w:r>
      <w:r w:rsidR="008F2B5A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used</w:t>
      </w:r>
      <w:r w:rsidR="008A1154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.</w:t>
      </w:r>
    </w:p>
    <w:p w14:paraId="02A21D71" w14:textId="69B2E720" w:rsidR="00EB3BE0" w:rsidRPr="00643808" w:rsidRDefault="00EB3BE0" w:rsidP="00EB3BE0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What is the probability that terminal wealth falls below 0.80 (i.e. an 80% floor) over 30 years?</w:t>
      </w:r>
    </w:p>
    <w:p w14:paraId="20503352" w14:textId="333C6480" w:rsidR="00EB3BE0" w:rsidRPr="00643808" w:rsidRDefault="00EB3BE0" w:rsidP="00EB3BE0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Using the distribution </w:t>
      </w:r>
      <w:r w:rsidR="008F2B5A"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 following results are</w:t>
      </w:r>
      <w:r w:rsidRPr="00643808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generated:</w:t>
      </w:r>
    </w:p>
    <w:p w14:paraId="60CE3D40" w14:textId="3A21B7B7" w:rsidR="00EB3BE0" w:rsidRPr="00643808" w:rsidRDefault="00EB3BE0" w:rsidP="00EB3BE0">
      <w:pPr>
        <w:widowControl/>
        <w:autoSpaceDE/>
        <w:autoSpaceDN/>
        <w:spacing w:before="100" w:beforeAutospacing="1" w:after="100" w:afterAutospacing="1"/>
        <w:outlineLvl w:val="0"/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</w:pPr>
      <w:r w:rsidRPr="00643808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t>Why this matters for hedge design</w:t>
      </w:r>
    </w:p>
    <w:p w14:paraId="6310ACAB" w14:textId="19C1D21F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The 80% floor is not “catastrophic” — but it’s not trivial</w:t>
      </w:r>
    </w:p>
    <w:p w14:paraId="11BD15F5" w14:textId="77777777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 ~16% breach probability is:</w:t>
      </w:r>
    </w:p>
    <w:p w14:paraId="1E0018D2" w14:textId="77777777" w:rsidR="00EB3BE0" w:rsidRPr="00A13462" w:rsidRDefault="00EB3BE0" w:rsidP="00EB3BE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Too high for a principal</w:t>
      </w: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protection narrative</w:t>
      </w:r>
    </w:p>
    <w:p w14:paraId="04C4E857" w14:textId="77777777" w:rsidR="00EB3BE0" w:rsidRPr="00A13462" w:rsidRDefault="00EB3BE0" w:rsidP="00EB3BE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Too low to justify full</w:t>
      </w: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time hedging</w:t>
      </w:r>
    </w:p>
    <w:p w14:paraId="1111FFFD" w14:textId="77777777" w:rsidR="00EB3BE0" w:rsidRPr="00A13462" w:rsidRDefault="00EB3BE0" w:rsidP="00EB3BE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Exactly in the zone where rules</w:t>
      </w: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based, cost</w:t>
      </w: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efficient overlays add value</w:t>
      </w:r>
    </w:p>
    <w:p w14:paraId="0B896F4D" w14:textId="664C7C86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The breach is driven by stagnation, not crashes</w:t>
      </w:r>
    </w:p>
    <w:p w14:paraId="632B9991" w14:textId="77777777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The 80% breach is dominated by long stagnation regimes (Regime C), not by crisis years (Regime D).</w:t>
      </w:r>
    </w:p>
    <w:p w14:paraId="1AAF46E4" w14:textId="77777777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Meaning:</w:t>
      </w:r>
    </w:p>
    <w:p w14:paraId="513F4BEE" w14:textId="77777777" w:rsidR="00EB3BE0" w:rsidRPr="00A13462" w:rsidRDefault="00EB3BE0" w:rsidP="00EB3BE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Crisis hedges alone won’t fix it</w:t>
      </w:r>
    </w:p>
    <w:p w14:paraId="0450BEA9" w14:textId="77777777" w:rsidR="00EB3BE0" w:rsidRPr="00A13462" w:rsidRDefault="00EB3BE0" w:rsidP="00EB3BE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You need </w:t>
      </w:r>
      <w:r w:rsidRPr="00A1346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persistent, low</w:t>
      </w:r>
      <w:r w:rsidRPr="00A1346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cost convexity</w:t>
      </w:r>
    </w:p>
    <w:p w14:paraId="28AEFAAA" w14:textId="77777777" w:rsidR="00EB3BE0" w:rsidRPr="00A13462" w:rsidRDefault="00EB3BE0" w:rsidP="00EB3BE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Timing matters less than </w:t>
      </w:r>
      <w:r w:rsidRPr="00A1346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regime awareness</w:t>
      </w:r>
    </w:p>
    <w:p w14:paraId="4C50C788" w14:textId="0C725B49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The hedge cost vs breach reduction curve is convex</w:t>
      </w:r>
    </w:p>
    <w:p w14:paraId="520392AF" w14:textId="77777777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For an 80% floor:</w:t>
      </w:r>
    </w:p>
    <w:p w14:paraId="6E1F1B17" w14:textId="77777777" w:rsidR="00EB3BE0" w:rsidRPr="00A13462" w:rsidRDefault="00EB3BE0" w:rsidP="00EB3BE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 small amount of convexity reduces breach probability sharply</w:t>
      </w:r>
    </w:p>
    <w:p w14:paraId="3A5F2130" w14:textId="77777777" w:rsidR="00EB3BE0" w:rsidRPr="00A13462" w:rsidRDefault="00EB3BE0" w:rsidP="00EB3BE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A large hedge is unnecessary and cost</w:t>
      </w: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inefficient</w:t>
      </w:r>
    </w:p>
    <w:p w14:paraId="6E891490" w14:textId="77777777" w:rsidR="00EB3BE0" w:rsidRPr="00A13462" w:rsidRDefault="00EB3BE0" w:rsidP="00EB3BE0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This is exactly the argument for:</w:t>
      </w:r>
    </w:p>
    <w:p w14:paraId="1BE6C842" w14:textId="77777777" w:rsidR="00EB3BE0" w:rsidRPr="00A13462" w:rsidRDefault="00EB3BE0" w:rsidP="00EB3BE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Static replication + intermittent overlays</w:t>
      </w:r>
    </w:p>
    <w:p w14:paraId="7F9D4DD6" w14:textId="77777777" w:rsidR="00EB3BE0" w:rsidRPr="00A13462" w:rsidRDefault="00EB3BE0" w:rsidP="00EB3BE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Rules</w:t>
      </w: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 triggers</w:t>
      </w:r>
    </w:p>
    <w:p w14:paraId="50BFFDFB" w14:textId="77777777" w:rsidR="00EB3BE0" w:rsidRPr="00A13462" w:rsidRDefault="00EB3BE0" w:rsidP="00EB3BE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Cost</w:t>
      </w: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controlled convexity</w:t>
      </w:r>
    </w:p>
    <w:p w14:paraId="71EB232D" w14:textId="479ACF26" w:rsidR="00EB3BE0" w:rsidRPr="00677ACB" w:rsidRDefault="00677ACB" w:rsidP="00EB3BE0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009999"/>
          <w:sz w:val="48"/>
          <w:szCs w:val="48"/>
          <w:lang w:val="en-GB" w:eastAsia="zh-CN"/>
        </w:rPr>
      </w:pPr>
      <w:r w:rsidRPr="00677ACB">
        <w:rPr>
          <w:rFonts w:asciiTheme="minorBidi" w:eastAsia="Times New Roman" w:hAnsiTheme="minorBidi" w:cstheme="minorBidi"/>
          <w:b/>
          <w:bCs/>
          <w:color w:val="009999"/>
          <w:sz w:val="48"/>
          <w:szCs w:val="48"/>
          <w:lang w:val="en-GB" w:eastAsia="zh-CN"/>
        </w:rPr>
        <w:t>H</w:t>
      </w:r>
      <w:r w:rsidR="00EB3BE0" w:rsidRPr="00677ACB">
        <w:rPr>
          <w:rFonts w:asciiTheme="minorBidi" w:eastAsia="Times New Roman" w:hAnsiTheme="minorBidi" w:cstheme="minorBidi"/>
          <w:b/>
          <w:bCs/>
          <w:color w:val="009999"/>
          <w:sz w:val="48"/>
          <w:szCs w:val="48"/>
          <w:lang w:val="en-GB" w:eastAsia="zh-CN"/>
        </w:rPr>
        <w:t>edge</w:t>
      </w:r>
      <w:r w:rsidR="00EB3BE0" w:rsidRPr="00677ACB">
        <w:rPr>
          <w:rFonts w:asciiTheme="minorBidi" w:eastAsia="Times New Roman" w:hAnsiTheme="minorBidi" w:cstheme="minorBidi"/>
          <w:b/>
          <w:bCs/>
          <w:color w:val="009999"/>
          <w:sz w:val="48"/>
          <w:szCs w:val="48"/>
          <w:lang w:val="en-GB" w:eastAsia="zh-CN"/>
        </w:rPr>
        <w:noBreakHyphen/>
        <w:t>efficiency table</w:t>
      </w:r>
      <w:r w:rsidR="0031251C">
        <w:rPr>
          <w:rFonts w:asciiTheme="minorBidi" w:eastAsia="Times New Roman" w:hAnsiTheme="minorBidi" w:cstheme="minorBidi"/>
          <w:b/>
          <w:bCs/>
          <w:color w:val="009999"/>
          <w:sz w:val="48"/>
          <w:szCs w:val="48"/>
          <w:lang w:val="en-GB" w:eastAsia="zh-CN"/>
        </w:rPr>
        <w:t xml:space="preserve"> (Cost-v-Probability of Breach)</w:t>
      </w:r>
    </w:p>
    <w:p w14:paraId="5C776AFB" w14:textId="77777777" w:rsidR="0031251C" w:rsidRPr="00A13462" w:rsidRDefault="0031251C" w:rsidP="0031251C">
      <w:pPr>
        <w:pStyle w:val="ListParagraph"/>
        <w:widowControl/>
        <w:numPr>
          <w:ilvl w:val="0"/>
          <w:numId w:val="8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</w:t>
      </w:r>
      <w:r w:rsidR="00D96BFC"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arget floor: 80% </w:t>
      </w:r>
    </w:p>
    <w:p w14:paraId="7BE44B04" w14:textId="60B009DE" w:rsidR="00D96BFC" w:rsidRPr="00A13462" w:rsidRDefault="00D96BFC" w:rsidP="0031251C">
      <w:pPr>
        <w:pStyle w:val="ListParagraph"/>
        <w:widowControl/>
        <w:numPr>
          <w:ilvl w:val="0"/>
          <w:numId w:val="8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A1346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Baseline breach probability (no hedge): ~16%</w:t>
      </w:r>
    </w:p>
    <w:p w14:paraId="52C95015" w14:textId="77777777" w:rsidR="0031251C" w:rsidRPr="008A2C10" w:rsidRDefault="0031251C">
      <w:pPr>
        <w:rPr>
          <w:rFonts w:asciiTheme="minorBidi" w:eastAsia="Times New Roman" w:hAnsiTheme="minorBidi" w:cstheme="minorBidi"/>
          <w:b/>
          <w:bCs/>
          <w:color w:val="EE0000"/>
          <w:sz w:val="27"/>
          <w:szCs w:val="27"/>
          <w:lang w:val="en-GB" w:eastAsia="zh-CN"/>
        </w:rPr>
      </w:pPr>
      <w:r w:rsidRPr="008A2C10">
        <w:rPr>
          <w:rFonts w:asciiTheme="minorBidi" w:eastAsia="Times New Roman" w:hAnsiTheme="minorBidi" w:cstheme="minorBidi"/>
          <w:b/>
          <w:bCs/>
          <w:color w:val="EE0000"/>
          <w:sz w:val="27"/>
          <w:szCs w:val="27"/>
          <w:lang w:val="en-GB" w:eastAsia="zh-CN"/>
        </w:rPr>
        <w:br w:type="page"/>
      </w:r>
    </w:p>
    <w:p w14:paraId="001ED091" w14:textId="23CAD385" w:rsidR="00D96BFC" w:rsidRPr="008A2C10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7"/>
          <w:szCs w:val="27"/>
          <w:lang w:val="en-GB" w:eastAsia="zh-CN"/>
        </w:rPr>
      </w:pPr>
      <w:r w:rsidRPr="008A2C10">
        <w:rPr>
          <w:rFonts w:asciiTheme="minorBidi" w:eastAsia="Times New Roman" w:hAnsiTheme="minorBidi" w:cstheme="minorBidi"/>
          <w:b/>
          <w:bCs/>
          <w:color w:val="EE0000"/>
          <w:sz w:val="27"/>
          <w:szCs w:val="27"/>
          <w:lang w:val="en-GB" w:eastAsia="zh-CN"/>
        </w:rPr>
        <w:lastRenderedPageBreak/>
        <w:t>Hedge</w:t>
      </w:r>
      <w:r w:rsidRPr="008A2C10">
        <w:rPr>
          <w:rFonts w:asciiTheme="minorBidi" w:eastAsia="Times New Roman" w:hAnsiTheme="minorBidi" w:cstheme="minorBidi"/>
          <w:b/>
          <w:bCs/>
          <w:color w:val="EE0000"/>
          <w:sz w:val="27"/>
          <w:szCs w:val="27"/>
          <w:lang w:val="en-GB" w:eastAsia="zh-CN"/>
        </w:rPr>
        <w:noBreakHyphen/>
        <w:t>Efficiency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445"/>
        <w:gridCol w:w="1646"/>
        <w:gridCol w:w="1844"/>
        <w:gridCol w:w="1893"/>
      </w:tblGrid>
      <w:tr w:rsidR="008A2C10" w:rsidRPr="00D27072" w14:paraId="03080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404BF" w14:textId="77777777" w:rsidR="00D96BFC" w:rsidRPr="00D27072" w:rsidRDefault="00D96BFC" w:rsidP="00D96BFC">
            <w:pPr>
              <w:widowControl/>
              <w:autoSpaceDE/>
              <w:autoSpaceDN/>
              <w:jc w:val="center"/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Hedge Structure</w:t>
            </w:r>
          </w:p>
        </w:tc>
        <w:tc>
          <w:tcPr>
            <w:tcW w:w="0" w:type="auto"/>
            <w:vAlign w:val="center"/>
            <w:hideMark/>
          </w:tcPr>
          <w:p w14:paraId="1BA6E477" w14:textId="77777777" w:rsidR="00D96BFC" w:rsidRPr="00D27072" w:rsidRDefault="00D96BFC" w:rsidP="00D96BFC">
            <w:pPr>
              <w:widowControl/>
              <w:autoSpaceDE/>
              <w:autoSpaceDN/>
              <w:jc w:val="center"/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Annual Cost (bps)</w:t>
            </w:r>
          </w:p>
        </w:tc>
        <w:tc>
          <w:tcPr>
            <w:tcW w:w="0" w:type="auto"/>
            <w:vAlign w:val="center"/>
            <w:hideMark/>
          </w:tcPr>
          <w:p w14:paraId="6C975942" w14:textId="77777777" w:rsidR="00D96BFC" w:rsidRPr="00D27072" w:rsidRDefault="00D96BFC" w:rsidP="00D96BFC">
            <w:pPr>
              <w:widowControl/>
              <w:autoSpaceDE/>
              <w:autoSpaceDN/>
              <w:jc w:val="center"/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Breach Probability</w:t>
            </w:r>
          </w:p>
        </w:tc>
        <w:tc>
          <w:tcPr>
            <w:tcW w:w="0" w:type="auto"/>
            <w:vAlign w:val="center"/>
            <w:hideMark/>
          </w:tcPr>
          <w:p w14:paraId="05482361" w14:textId="77777777" w:rsidR="00D96BFC" w:rsidRPr="00D27072" w:rsidRDefault="00D96BFC" w:rsidP="00D96BFC">
            <w:pPr>
              <w:widowControl/>
              <w:autoSpaceDE/>
              <w:autoSpaceDN/>
              <w:jc w:val="center"/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Reduction vs Baseline</w:t>
            </w:r>
          </w:p>
        </w:tc>
        <w:tc>
          <w:tcPr>
            <w:tcW w:w="0" w:type="auto"/>
            <w:vAlign w:val="center"/>
            <w:hideMark/>
          </w:tcPr>
          <w:p w14:paraId="3B81F104" w14:textId="77777777" w:rsidR="00D96BFC" w:rsidRPr="00D27072" w:rsidRDefault="00D96BFC" w:rsidP="00D96BFC">
            <w:pPr>
              <w:widowControl/>
              <w:autoSpaceDE/>
              <w:autoSpaceDN/>
              <w:jc w:val="center"/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Cost per 1% Reduction</w:t>
            </w:r>
          </w:p>
        </w:tc>
      </w:tr>
      <w:tr w:rsidR="008A2C10" w:rsidRPr="00D27072" w14:paraId="6A109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1E7E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No hedge</w:t>
            </w:r>
          </w:p>
        </w:tc>
        <w:tc>
          <w:tcPr>
            <w:tcW w:w="0" w:type="auto"/>
            <w:vAlign w:val="center"/>
            <w:hideMark/>
          </w:tcPr>
          <w:p w14:paraId="0337AEE2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3CB5D3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14:paraId="56180917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2192FB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–</w:t>
            </w:r>
          </w:p>
        </w:tc>
      </w:tr>
      <w:tr w:rsidR="008A2C10" w:rsidRPr="00D27072" w14:paraId="753A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8379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5% notional convexity (OTM puts)</w:t>
            </w:r>
          </w:p>
        </w:tc>
        <w:tc>
          <w:tcPr>
            <w:tcW w:w="0" w:type="auto"/>
            <w:vAlign w:val="center"/>
            <w:hideMark/>
          </w:tcPr>
          <w:p w14:paraId="28E37474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35–55 bps</w:t>
            </w:r>
          </w:p>
        </w:tc>
        <w:tc>
          <w:tcPr>
            <w:tcW w:w="0" w:type="auto"/>
            <w:vAlign w:val="center"/>
            <w:hideMark/>
          </w:tcPr>
          <w:p w14:paraId="38F74229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11–12%</w:t>
            </w:r>
          </w:p>
        </w:tc>
        <w:tc>
          <w:tcPr>
            <w:tcW w:w="0" w:type="auto"/>
            <w:vAlign w:val="center"/>
            <w:hideMark/>
          </w:tcPr>
          <w:p w14:paraId="00B1E555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~4–5%</w:t>
            </w:r>
          </w:p>
        </w:tc>
        <w:tc>
          <w:tcPr>
            <w:tcW w:w="0" w:type="auto"/>
            <w:vAlign w:val="center"/>
            <w:hideMark/>
          </w:tcPr>
          <w:p w14:paraId="43B79777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~8–12 bps</w:t>
            </w:r>
          </w:p>
        </w:tc>
      </w:tr>
      <w:tr w:rsidR="008A2C10" w:rsidRPr="00D27072" w14:paraId="71960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DE38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10% notional convexity</w:t>
            </w:r>
          </w:p>
        </w:tc>
        <w:tc>
          <w:tcPr>
            <w:tcW w:w="0" w:type="auto"/>
            <w:vAlign w:val="center"/>
            <w:hideMark/>
          </w:tcPr>
          <w:p w14:paraId="2F31EBFA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70–110 bps</w:t>
            </w:r>
          </w:p>
        </w:tc>
        <w:tc>
          <w:tcPr>
            <w:tcW w:w="0" w:type="auto"/>
            <w:vAlign w:val="center"/>
            <w:hideMark/>
          </w:tcPr>
          <w:p w14:paraId="2936A34C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7–9%</w:t>
            </w:r>
          </w:p>
        </w:tc>
        <w:tc>
          <w:tcPr>
            <w:tcW w:w="0" w:type="auto"/>
            <w:vAlign w:val="center"/>
            <w:hideMark/>
          </w:tcPr>
          <w:p w14:paraId="30236D68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~7–9%</w:t>
            </w:r>
          </w:p>
        </w:tc>
        <w:tc>
          <w:tcPr>
            <w:tcW w:w="0" w:type="auto"/>
            <w:vAlign w:val="center"/>
            <w:hideMark/>
          </w:tcPr>
          <w:p w14:paraId="5A28FD9B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~10–14 bps</w:t>
            </w:r>
          </w:p>
        </w:tc>
      </w:tr>
      <w:tr w:rsidR="008A2C10" w:rsidRPr="00D27072" w14:paraId="22B8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E6CA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Rules</w:t>
            </w: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noBreakHyphen/>
              <w:t>based overlay</w:t>
            </w:r>
          </w:p>
        </w:tc>
        <w:tc>
          <w:tcPr>
            <w:tcW w:w="0" w:type="auto"/>
            <w:vAlign w:val="center"/>
            <w:hideMark/>
          </w:tcPr>
          <w:p w14:paraId="51F1910C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25–40 bps</w:t>
            </w:r>
          </w:p>
        </w:tc>
        <w:tc>
          <w:tcPr>
            <w:tcW w:w="0" w:type="auto"/>
            <w:vAlign w:val="center"/>
            <w:hideMark/>
          </w:tcPr>
          <w:p w14:paraId="3B566602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7C941CBC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~6–8%</w:t>
            </w:r>
          </w:p>
        </w:tc>
        <w:tc>
          <w:tcPr>
            <w:tcW w:w="0" w:type="auto"/>
            <w:vAlign w:val="center"/>
            <w:hideMark/>
          </w:tcPr>
          <w:p w14:paraId="591F5979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~4–6 bps (best)</w:t>
            </w:r>
          </w:p>
        </w:tc>
      </w:tr>
      <w:tr w:rsidR="008A2C10" w:rsidRPr="00D27072" w14:paraId="659DB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E9F5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Static replication sleeve</w:t>
            </w:r>
          </w:p>
        </w:tc>
        <w:tc>
          <w:tcPr>
            <w:tcW w:w="0" w:type="auto"/>
            <w:vAlign w:val="center"/>
            <w:hideMark/>
          </w:tcPr>
          <w:p w14:paraId="2D4E08BD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15–25 bps</w:t>
            </w:r>
          </w:p>
        </w:tc>
        <w:tc>
          <w:tcPr>
            <w:tcW w:w="0" w:type="auto"/>
            <w:vAlign w:val="center"/>
            <w:hideMark/>
          </w:tcPr>
          <w:p w14:paraId="25B1FEFF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b/>
                <w:bCs/>
                <w:color w:val="EE0000"/>
                <w:lang w:val="en-GB" w:eastAsia="zh-CN"/>
              </w:rPr>
              <w:t>10–12%</w:t>
            </w:r>
          </w:p>
        </w:tc>
        <w:tc>
          <w:tcPr>
            <w:tcW w:w="0" w:type="auto"/>
            <w:vAlign w:val="center"/>
            <w:hideMark/>
          </w:tcPr>
          <w:p w14:paraId="3890494A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~4–6%</w:t>
            </w:r>
          </w:p>
        </w:tc>
        <w:tc>
          <w:tcPr>
            <w:tcW w:w="0" w:type="auto"/>
            <w:vAlign w:val="center"/>
            <w:hideMark/>
          </w:tcPr>
          <w:p w14:paraId="12586EC2" w14:textId="77777777" w:rsidR="00D96BFC" w:rsidRPr="00D27072" w:rsidRDefault="00D96BFC" w:rsidP="00D96BFC">
            <w:pPr>
              <w:widowControl/>
              <w:autoSpaceDE/>
              <w:autoSpaceDN/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</w:pPr>
            <w:r w:rsidRPr="00D27072">
              <w:rPr>
                <w:rFonts w:asciiTheme="minorBidi" w:eastAsia="Times New Roman" w:hAnsiTheme="minorBidi" w:cstheme="minorBidi"/>
                <w:color w:val="EE0000"/>
                <w:lang w:val="en-GB" w:eastAsia="zh-CN"/>
              </w:rPr>
              <w:t>~4–6 bps</w:t>
            </w:r>
          </w:p>
        </w:tc>
      </w:tr>
    </w:tbl>
    <w:p w14:paraId="6EA5184B" w14:textId="77777777" w:rsidR="00D96BFC" w:rsidRPr="00D27072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Interpretation</w:t>
      </w:r>
    </w:p>
    <w:p w14:paraId="4EA1ED5B" w14:textId="77777777" w:rsidR="00D96BFC" w:rsidRPr="00D27072" w:rsidRDefault="00D96BFC" w:rsidP="00D96BFC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Rules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 overlays deliver the best cost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per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unit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of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protection.</w:t>
      </w:r>
    </w:p>
    <w:p w14:paraId="351B9C7E" w14:textId="77777777" w:rsidR="00D96BFC" w:rsidRPr="00D27072" w:rsidRDefault="00D96BFC" w:rsidP="00D96BFC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Static replication is the cheapest always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on convexity.</w:t>
      </w:r>
    </w:p>
    <w:p w14:paraId="7F4F5ED8" w14:textId="77777777" w:rsidR="00D96BFC" w:rsidRPr="00D27072" w:rsidRDefault="00D96BFC" w:rsidP="00D96BFC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10% convexity gives the strongest protection but at higher cost.</w:t>
      </w:r>
    </w:p>
    <w:p w14:paraId="22F672D7" w14:textId="77777777" w:rsidR="00D96BFC" w:rsidRPr="00D27072" w:rsidRDefault="00D96BFC" w:rsidP="00D96BFC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5% convexity is the “minimum viable” hedge.</w:t>
      </w:r>
    </w:p>
    <w:p w14:paraId="63BC0C97" w14:textId="04B1E2CE" w:rsidR="00D96BFC" w:rsidRPr="0031251C" w:rsidRDefault="00D96BFC" w:rsidP="00D96BFC">
      <w:pPr>
        <w:widowControl/>
        <w:autoSpaceDE/>
        <w:autoSpaceDN/>
        <w:spacing w:before="100" w:beforeAutospacing="1" w:after="100" w:afterAutospacing="1"/>
        <w:outlineLvl w:val="0"/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</w:pPr>
      <w:r w:rsidRPr="0031251C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t>Rules</w:t>
      </w:r>
      <w:r w:rsidRPr="0031251C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noBreakHyphen/>
        <w:t>Based Overlay Design (Regime</w:t>
      </w:r>
      <w:r w:rsidRPr="0031251C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noBreakHyphen/>
        <w:t>Aware, Cost</w:t>
      </w:r>
      <w:r w:rsidRPr="0031251C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noBreakHyphen/>
        <w:t>Controlled)</w:t>
      </w:r>
    </w:p>
    <w:p w14:paraId="403BE980" w14:textId="215AEF77" w:rsidR="00D96BFC" w:rsidRPr="00D27072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Trigger Conditions</w:t>
      </w:r>
    </w:p>
    <w:p w14:paraId="5579BBE0" w14:textId="77777777" w:rsidR="00D96BFC" w:rsidRPr="00D27072" w:rsidRDefault="00D96BFC" w:rsidP="00D96BFC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Overlay activates when </w:t>
      </w: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two of three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conditions hold:</w:t>
      </w:r>
    </w:p>
    <w:p w14:paraId="3A295B30" w14:textId="77777777" w:rsidR="00D96BFC" w:rsidRPr="00D27072" w:rsidRDefault="00D96BFC" w:rsidP="00D96BFC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Volatility regime shift</w:t>
      </w:r>
    </w:p>
    <w:p w14:paraId="5F9C1FF8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VIX &gt; 22</w:t>
      </w:r>
    </w:p>
    <w:p w14:paraId="03835DA4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OR realised vol &gt; 18%</w:t>
      </w:r>
    </w:p>
    <w:p w14:paraId="61AC094F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OR vol-of-vol spike</w:t>
      </w:r>
    </w:p>
    <w:p w14:paraId="1FEE0666" w14:textId="77777777" w:rsidR="00D96BFC" w:rsidRPr="00D27072" w:rsidRDefault="00D96BFC" w:rsidP="00D96BFC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Macro deterioration</w:t>
      </w:r>
    </w:p>
    <w:p w14:paraId="097843B6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PMI &lt; 50</w:t>
      </w:r>
    </w:p>
    <w:p w14:paraId="65CA499F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OR credit spreads widening &gt; 40 bps</w:t>
      </w:r>
    </w:p>
    <w:p w14:paraId="1C7754EC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OR yield curve inversion &gt; 50 bps</w:t>
      </w:r>
    </w:p>
    <w:p w14:paraId="29019463" w14:textId="77777777" w:rsidR="00D96BFC" w:rsidRPr="00D27072" w:rsidRDefault="00D96BFC" w:rsidP="00D96BFC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Equity trend deterioration</w:t>
      </w:r>
    </w:p>
    <w:p w14:paraId="3CA66BB6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S&amp;P below 200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day MA</w:t>
      </w:r>
    </w:p>
    <w:p w14:paraId="577F0579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OR 3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month momentum negative</w:t>
      </w:r>
    </w:p>
    <w:p w14:paraId="3F01E36D" w14:textId="77777777" w:rsidR="00D96BFC" w:rsidRPr="00D27072" w:rsidRDefault="00D96BFC" w:rsidP="00D96BFC">
      <w:pPr>
        <w:widowControl/>
        <w:numPr>
          <w:ilvl w:val="1"/>
          <w:numId w:val="39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OR breadth &lt; 40%</w:t>
      </w:r>
    </w:p>
    <w:p w14:paraId="467E98BA" w14:textId="77777777" w:rsidR="00D96BFC" w:rsidRPr="00D27072" w:rsidRDefault="00D96BFC" w:rsidP="00D96BFC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This avoids over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hedging and keeps the system objective.</w:t>
      </w:r>
    </w:p>
    <w:p w14:paraId="396038D2" w14:textId="7363338F" w:rsidR="00D96BFC" w:rsidRPr="00D27072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Hedge Implementation</w:t>
      </w:r>
    </w:p>
    <w:p w14:paraId="3B70A6AF" w14:textId="77777777" w:rsidR="00D96BFC" w:rsidRPr="00D27072" w:rsidRDefault="00D96BFC" w:rsidP="00D96BFC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When triggered:</w:t>
      </w:r>
    </w:p>
    <w:p w14:paraId="6BB7629C" w14:textId="77777777" w:rsidR="00D96BFC" w:rsidRPr="00D27072" w:rsidRDefault="00D96BFC" w:rsidP="00D96BFC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Add </w:t>
      </w: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5–10% notional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of OTM put convexity</w:t>
      </w:r>
    </w:p>
    <w:p w14:paraId="754EEF1C" w14:textId="77777777" w:rsidR="00D96BFC" w:rsidRPr="00D27072" w:rsidRDefault="00D96BFC" w:rsidP="00D96BFC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Prefer </w:t>
      </w: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3–6 month tenor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, rolled quarterly</w:t>
      </w:r>
    </w:p>
    <w:p w14:paraId="7037E980" w14:textId="77777777" w:rsidR="00D96BFC" w:rsidRPr="00D27072" w:rsidRDefault="00D96BFC" w:rsidP="00D96BFC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Strike: </w:t>
      </w: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10–15% OTM</w:t>
      </w:r>
    </w:p>
    <w:p w14:paraId="2C05B5BC" w14:textId="77777777" w:rsidR="00D96BFC" w:rsidRPr="00D27072" w:rsidRDefault="00D96BFC" w:rsidP="00D96BFC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Use </w:t>
      </w:r>
      <w:r w:rsidRPr="00D27072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spread structures</w:t>
      </w:r>
      <w:r w:rsidRPr="00D27072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to reduce cost (put spreads, ratio spreads)</w:t>
      </w:r>
    </w:p>
    <w:p w14:paraId="7219A5DD" w14:textId="17F01B21" w:rsidR="00D27072" w:rsidRDefault="00D27072">
      <w:pP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br w:type="page"/>
      </w:r>
    </w:p>
    <w:p w14:paraId="5CFD14CE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lastRenderedPageBreak/>
        <w:t>3. De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activation Rules</w:t>
      </w:r>
    </w:p>
    <w:p w14:paraId="7414170C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Overlay is removed when:</w:t>
      </w:r>
    </w:p>
    <w:p w14:paraId="41C51CFF" w14:textId="77777777" w:rsidR="00D96BFC" w:rsidRPr="00832FAF" w:rsidRDefault="00D96BFC" w:rsidP="00D96BFC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VIX &lt; 18</w:t>
      </w:r>
    </w:p>
    <w:p w14:paraId="41F6435F" w14:textId="77777777" w:rsidR="00D96BFC" w:rsidRPr="00832FAF" w:rsidRDefault="00D96BFC" w:rsidP="00D96BFC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PMI &gt; 50</w:t>
      </w:r>
    </w:p>
    <w:p w14:paraId="1F835A19" w14:textId="77777777" w:rsidR="00D96BFC" w:rsidRPr="00832FAF" w:rsidRDefault="00D96BFC" w:rsidP="00D96BFC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S&amp;P regains 200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day MA</w:t>
      </w:r>
    </w:p>
    <w:p w14:paraId="0D24289B" w14:textId="77777777" w:rsidR="00D96BFC" w:rsidRPr="00832FAF" w:rsidRDefault="00D96BFC" w:rsidP="00D96BFC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Credit spreads tighten &gt; 20 bps</w:t>
      </w:r>
    </w:p>
    <w:p w14:paraId="3F368CA3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This ensures the hedge is 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temporary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, not a permanent drag.</w:t>
      </w:r>
    </w:p>
    <w:p w14:paraId="5C679557" w14:textId="229B9688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Expected Cost</w:t>
      </w:r>
    </w:p>
    <w:p w14:paraId="0CD91E60" w14:textId="77777777" w:rsidR="00D96BFC" w:rsidRPr="00832FAF" w:rsidRDefault="00D96BFC" w:rsidP="00D96BFC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25–40 bps per year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, depending on regime frequency</w:t>
      </w:r>
    </w:p>
    <w:p w14:paraId="006EEE58" w14:textId="77777777" w:rsidR="00D96BFC" w:rsidRPr="00832FAF" w:rsidRDefault="00D96BFC" w:rsidP="00D96BFC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Lower than static convexity</w:t>
      </w:r>
    </w:p>
    <w:p w14:paraId="3ABA528D" w14:textId="77777777" w:rsidR="00D96BFC" w:rsidRPr="00832FAF" w:rsidRDefault="00D96BFC" w:rsidP="00D96BFC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Higher efficiency per unit of protection</w:t>
      </w:r>
    </w:p>
    <w:p w14:paraId="5AEDEEE7" w14:textId="41BC039F" w:rsidR="00D96BFC" w:rsidRPr="008A2C10" w:rsidRDefault="00D96BFC" w:rsidP="00D96BFC">
      <w:pPr>
        <w:widowControl/>
        <w:autoSpaceDE/>
        <w:autoSpaceDN/>
        <w:spacing w:before="100" w:beforeAutospacing="1" w:after="100" w:afterAutospacing="1"/>
        <w:outlineLvl w:val="0"/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</w:pPr>
      <w:r w:rsidRPr="008A2C10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t>Static Replication Sleeve (Always</w:t>
      </w:r>
      <w:r w:rsidRPr="008A2C10">
        <w:rPr>
          <w:rFonts w:asciiTheme="minorBidi" w:eastAsia="Times New Roman" w:hAnsiTheme="minorBidi" w:cstheme="minorBidi"/>
          <w:b/>
          <w:bCs/>
          <w:color w:val="009999"/>
          <w:kern w:val="36"/>
          <w:sz w:val="48"/>
          <w:szCs w:val="48"/>
          <w:lang w:val="en-GB" w:eastAsia="zh-CN"/>
        </w:rPr>
        <w:noBreakHyphen/>
        <w:t>On Convexity)</w:t>
      </w:r>
    </w:p>
    <w:p w14:paraId="74F30462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Purpose</w:t>
      </w:r>
    </w:p>
    <w:p w14:paraId="29FC1618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Provide 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baseline left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tail protection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without timing.</w:t>
      </w:r>
    </w:p>
    <w:p w14:paraId="46E85F2D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Structure</w:t>
      </w:r>
    </w:p>
    <w:p w14:paraId="5B980DA0" w14:textId="77777777" w:rsidR="00D96BFC" w:rsidRPr="00832FAF" w:rsidRDefault="00D96BFC" w:rsidP="00D96BFC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2–3% notional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of deep OTM put spreads</w:t>
      </w:r>
    </w:p>
    <w:p w14:paraId="734F8984" w14:textId="77777777" w:rsidR="00D96BFC" w:rsidRPr="00832FAF" w:rsidRDefault="00D96BFC" w:rsidP="00D96BFC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Tenor: 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1 year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, rolled annually</w:t>
      </w:r>
    </w:p>
    <w:p w14:paraId="4D5B775A" w14:textId="77777777" w:rsidR="00D96BFC" w:rsidRPr="00832FAF" w:rsidRDefault="00D96BFC" w:rsidP="00D96BFC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Strikes: 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20–30% OTM</w:t>
      </w:r>
    </w:p>
    <w:p w14:paraId="48FE8ED6" w14:textId="77777777" w:rsidR="00D96BFC" w:rsidRPr="00832FAF" w:rsidRDefault="00D96BFC" w:rsidP="00D96BFC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Use 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laddering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to smooth cost</w:t>
      </w:r>
    </w:p>
    <w:p w14:paraId="68BA8B18" w14:textId="77777777" w:rsidR="00D96BFC" w:rsidRPr="00832FAF" w:rsidRDefault="00D96BFC" w:rsidP="00D96BFC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Combine with 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delta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noBreakHyphen/>
        <w:t>hedged call overwriting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 to partially fund it</w:t>
      </w:r>
    </w:p>
    <w:p w14:paraId="57771260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Cost</w:t>
      </w:r>
    </w:p>
    <w:p w14:paraId="0E08D3FB" w14:textId="77777777" w:rsidR="00D96BFC" w:rsidRPr="00832FAF" w:rsidRDefault="00D96BFC" w:rsidP="00D96BFC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15–25 bps per year</w:t>
      </w:r>
    </w:p>
    <w:p w14:paraId="03B8F544" w14:textId="77777777" w:rsidR="00D96BFC" w:rsidRPr="00832FAF" w:rsidRDefault="00D96BFC" w:rsidP="00D96BFC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Predictable, stable, regulator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friendly</w:t>
      </w:r>
    </w:p>
    <w:p w14:paraId="69A5E434" w14:textId="77777777" w:rsidR="00D96BFC" w:rsidRPr="00832FAF" w:rsidRDefault="00D96BFC" w:rsidP="00D96BFC">
      <w:pPr>
        <w:widowControl/>
        <w:autoSpaceDE/>
        <w:autoSpaceDN/>
        <w:spacing w:before="100" w:beforeAutospacing="1" w:after="100" w:afterAutospacing="1"/>
        <w:outlineLvl w:val="2"/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Effect</w:t>
      </w:r>
    </w:p>
    <w:p w14:paraId="1C308911" w14:textId="77777777" w:rsidR="00D96BFC" w:rsidRPr="00832FAF" w:rsidRDefault="00D96BFC" w:rsidP="00D96BFC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 xml:space="preserve">Reduces breach probability by </w:t>
      </w:r>
      <w:r w:rsidRPr="00832FAF">
        <w:rPr>
          <w:rFonts w:asciiTheme="minorBidi" w:eastAsia="Times New Roman" w:hAnsiTheme="minorBidi" w:cstheme="minorBidi"/>
          <w:b/>
          <w:bCs/>
          <w:color w:val="EE0000"/>
          <w:sz w:val="20"/>
          <w:szCs w:val="20"/>
          <w:lang w:val="en-GB" w:eastAsia="zh-CN"/>
        </w:rPr>
        <w:t>4–6%</w:t>
      </w:r>
    </w:p>
    <w:p w14:paraId="0D07136A" w14:textId="77777777" w:rsidR="00D96BFC" w:rsidRPr="00832FAF" w:rsidRDefault="00D96BFC" w:rsidP="00D96BFC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Provides convexity in crises</w:t>
      </w:r>
    </w:p>
    <w:p w14:paraId="638092DC" w14:textId="77777777" w:rsidR="00D96BFC" w:rsidRPr="00832FAF" w:rsidRDefault="00D96BFC" w:rsidP="00D96BFC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</w:pP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t>Complements the rules</w:t>
      </w:r>
      <w:r w:rsidRPr="00832FAF">
        <w:rPr>
          <w:rFonts w:asciiTheme="minorBidi" w:eastAsia="Times New Roman" w:hAnsiTheme="minorBidi" w:cstheme="minorBidi"/>
          <w:color w:val="EE0000"/>
          <w:sz w:val="20"/>
          <w:szCs w:val="20"/>
          <w:lang w:val="en-GB" w:eastAsia="zh-CN"/>
        </w:rPr>
        <w:noBreakHyphen/>
        <w:t>based overlay</w:t>
      </w:r>
    </w:p>
    <w:p w14:paraId="1160B11E" w14:textId="4E4249B0" w:rsidR="00EB2BC2" w:rsidRPr="00EB2BC2" w:rsidRDefault="00EB2BC2" w:rsidP="00EB2BC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GB" w:eastAsia="zh-CN"/>
        </w:rPr>
      </w:pPr>
    </w:p>
    <w:p w14:paraId="4990013F" w14:textId="0204BD13" w:rsidR="000436DE" w:rsidRDefault="00601773">
      <w:pPr>
        <w:pStyle w:val="Heading2"/>
      </w:pPr>
      <w:r>
        <w:rPr>
          <w:color w:val="3497A8"/>
        </w:rPr>
        <w:t xml:space="preserve">Are the Numbers </w:t>
      </w:r>
      <w:r>
        <w:rPr>
          <w:color w:val="3497A8"/>
          <w:spacing w:val="-2"/>
        </w:rPr>
        <w:t>In</w:t>
      </w:r>
      <w:r w:rsidR="00FD7309">
        <w:rPr>
          <w:color w:val="3497A8"/>
          <w:spacing w:val="-2"/>
        </w:rPr>
        <w:t>surable</w:t>
      </w:r>
      <w:r>
        <w:rPr>
          <w:color w:val="3497A8"/>
          <w:spacing w:val="-2"/>
        </w:rPr>
        <w:t>?</w:t>
      </w:r>
    </w:p>
    <w:p w14:paraId="49900140" w14:textId="77777777" w:rsidR="000436DE" w:rsidRDefault="00601773">
      <w:pPr>
        <w:pStyle w:val="BodyText"/>
        <w:spacing w:before="203" w:line="292" w:lineRule="auto"/>
        <w:ind w:left="262" w:right="259"/>
        <w:jc w:val="both"/>
      </w:pPr>
      <w:r>
        <w:rPr>
          <w:b/>
          <w:color w:val="2B3D4F"/>
        </w:rPr>
        <w:t xml:space="preserve">At base case parameters, yes. </w:t>
      </w:r>
      <w:r>
        <w:rPr>
          <w:color w:val="2B3D4F"/>
        </w:rPr>
        <w:t>A 1.2% PoD with a conditional deficit of $333,305 against a $2M property is a reasonable risk profile. The LMI fair premium of $1,716 is commercially viable. The portfolio-level PoC after the Payments Waterfall is well below the 1% threshold that reinsurers typically require.</w:t>
      </w:r>
    </w:p>
    <w:p w14:paraId="49900141" w14:textId="04C764EA" w:rsidR="000436DE" w:rsidRDefault="00C219A6">
      <w:pPr>
        <w:pStyle w:val="BodyText"/>
        <w:spacing w:before="168" w:line="292" w:lineRule="auto"/>
        <w:ind w:left="262" w:right="259"/>
        <w:jc w:val="both"/>
      </w:pPr>
      <w:r>
        <w:rPr>
          <w:color w:val="2B3D4F"/>
        </w:rPr>
        <w:t>Note t</w:t>
      </w:r>
      <w:r w:rsidR="00601773">
        <w:rPr>
          <w:color w:val="2B3D4F"/>
        </w:rPr>
        <w:t xml:space="preserve">he sensitivity analysis reveals that the product remains sensitive to parameter assumptions. A persistent shift to 8% returns with 20% volatility (the "mild adverse" scenario) pushes PoD to 10.19%. The </w:t>
      </w:r>
      <w:r>
        <w:rPr>
          <w:color w:val="2B3D4F"/>
        </w:rPr>
        <w:t xml:space="preserve">Payments &amp;Risk Waterfall and the subsequent </w:t>
      </w:r>
      <w:r w:rsidR="00601773">
        <w:rPr>
          <w:color w:val="2B3D4F"/>
        </w:rPr>
        <w:t xml:space="preserve">insurance structure </w:t>
      </w:r>
      <w:r w:rsidR="005611F1">
        <w:rPr>
          <w:color w:val="2B3D4F"/>
        </w:rPr>
        <w:t>are</w:t>
      </w:r>
      <w:r w:rsidR="00601773">
        <w:rPr>
          <w:color w:val="2B3D4F"/>
        </w:rPr>
        <w:t xml:space="preserve"> essential for </w:t>
      </w:r>
      <w:r w:rsidR="00601773">
        <w:rPr>
          <w:color w:val="2B3D4F"/>
        </w:rPr>
        <w:lastRenderedPageBreak/>
        <w:t>managing these tail scenarios.</w:t>
      </w:r>
    </w:p>
    <w:p w14:paraId="49900142" w14:textId="77777777" w:rsidR="000436DE" w:rsidRDefault="000436DE">
      <w:pPr>
        <w:pStyle w:val="BodyText"/>
        <w:spacing w:before="56"/>
      </w:pPr>
    </w:p>
    <w:p w14:paraId="4990014D" w14:textId="77777777" w:rsidR="000436DE" w:rsidRPr="00341CE4" w:rsidRDefault="00601773">
      <w:pPr>
        <w:pStyle w:val="Heading1"/>
        <w:rPr>
          <w:color w:val="009999"/>
        </w:rPr>
      </w:pPr>
      <w:r w:rsidRPr="00341CE4">
        <w:rPr>
          <w:color w:val="009999"/>
        </w:rPr>
        <w:t xml:space="preserve">EPM vs Current Investment </w:t>
      </w:r>
      <w:r w:rsidRPr="00341CE4">
        <w:rPr>
          <w:color w:val="009999"/>
          <w:spacing w:val="-2"/>
        </w:rPr>
        <w:t>Landscape</w:t>
      </w:r>
    </w:p>
    <w:p w14:paraId="4990014E" w14:textId="77777777" w:rsidR="000436DE" w:rsidRPr="006C4BF5" w:rsidRDefault="00601773">
      <w:pPr>
        <w:pStyle w:val="BodyText"/>
        <w:spacing w:before="242" w:line="292" w:lineRule="auto"/>
        <w:ind w:left="262"/>
        <w:rPr>
          <w:color w:val="EE0000"/>
        </w:rPr>
      </w:pPr>
      <w:r w:rsidRPr="006C4BF5">
        <w:rPr>
          <w:color w:val="EE0000"/>
        </w:rPr>
        <w:t>To place the EPM risk profile in context, we benchmark its key actuarial metrics against established credit instruments and traditional residential lending.</w:t>
      </w:r>
    </w:p>
    <w:p w14:paraId="4990014F" w14:textId="77777777" w:rsidR="000436DE" w:rsidRPr="006C4BF5" w:rsidRDefault="000436DE">
      <w:pPr>
        <w:pStyle w:val="BodyText"/>
        <w:spacing w:before="2"/>
        <w:rPr>
          <w:color w:val="EE0000"/>
          <w:sz w:val="13"/>
        </w:rPr>
      </w:pPr>
    </w:p>
    <w:tbl>
      <w:tblPr>
        <w:tblW w:w="0" w:type="auto"/>
        <w:tblInd w:w="487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247"/>
        <w:gridCol w:w="1417"/>
        <w:gridCol w:w="1247"/>
        <w:gridCol w:w="1247"/>
        <w:gridCol w:w="1417"/>
      </w:tblGrid>
      <w:tr w:rsidR="006C4BF5" w:rsidRPr="006C4BF5" w14:paraId="49900157" w14:textId="77777777">
        <w:trPr>
          <w:trHeight w:val="590"/>
        </w:trPr>
        <w:tc>
          <w:tcPr>
            <w:tcW w:w="1814" w:type="dxa"/>
            <w:shd w:val="clear" w:color="auto" w:fill="2B3D4F"/>
          </w:tcPr>
          <w:p w14:paraId="49900150" w14:textId="77777777" w:rsidR="000436DE" w:rsidRPr="006C4BF5" w:rsidRDefault="00601773">
            <w:pPr>
              <w:pStyle w:val="TableParagraph"/>
              <w:spacing w:before="196"/>
              <w:jc w:val="left"/>
              <w:rPr>
                <w:b/>
                <w:color w:val="EE0000"/>
                <w:sz w:val="18"/>
              </w:rPr>
            </w:pPr>
            <w:r w:rsidRPr="006C4BF5">
              <w:rPr>
                <w:b/>
                <w:color w:val="EE0000"/>
                <w:spacing w:val="-2"/>
                <w:sz w:val="18"/>
              </w:rPr>
              <w:t>Metric</w:t>
            </w:r>
          </w:p>
        </w:tc>
        <w:tc>
          <w:tcPr>
            <w:tcW w:w="1247" w:type="dxa"/>
            <w:shd w:val="clear" w:color="auto" w:fill="2B3D4F"/>
          </w:tcPr>
          <w:p w14:paraId="49900151" w14:textId="77777777" w:rsidR="000436DE" w:rsidRPr="006C4BF5" w:rsidRDefault="00601773">
            <w:pPr>
              <w:pStyle w:val="TableParagraph"/>
              <w:spacing w:before="196"/>
              <w:ind w:left="12" w:right="2"/>
              <w:rPr>
                <w:b/>
                <w:color w:val="EE0000"/>
                <w:sz w:val="18"/>
              </w:rPr>
            </w:pPr>
            <w:r w:rsidRPr="006C4BF5">
              <w:rPr>
                <w:b/>
                <w:color w:val="EE0000"/>
                <w:sz w:val="18"/>
              </w:rPr>
              <w:t xml:space="preserve">EPM </w:t>
            </w:r>
            <w:r w:rsidRPr="006C4BF5">
              <w:rPr>
                <w:b/>
                <w:color w:val="EE0000"/>
                <w:spacing w:val="-2"/>
                <w:sz w:val="18"/>
              </w:rPr>
              <w:t>(v14c)</w:t>
            </w:r>
          </w:p>
        </w:tc>
        <w:tc>
          <w:tcPr>
            <w:tcW w:w="1417" w:type="dxa"/>
            <w:shd w:val="clear" w:color="auto" w:fill="2B3D4F"/>
          </w:tcPr>
          <w:p w14:paraId="49900152" w14:textId="77777777" w:rsidR="000436DE" w:rsidRPr="006C4BF5" w:rsidRDefault="00601773">
            <w:pPr>
              <w:pStyle w:val="TableParagraph"/>
              <w:spacing w:line="254" w:lineRule="auto"/>
              <w:ind w:left="304" w:right="286" w:hanging="1"/>
              <w:jc w:val="left"/>
              <w:rPr>
                <w:b/>
                <w:color w:val="EE0000"/>
                <w:sz w:val="18"/>
              </w:rPr>
            </w:pPr>
            <w:r w:rsidRPr="006C4BF5">
              <w:rPr>
                <w:b/>
                <w:color w:val="EE0000"/>
                <w:sz w:val="18"/>
              </w:rPr>
              <w:t>Prime</w:t>
            </w:r>
            <w:r w:rsidRPr="006C4BF5">
              <w:rPr>
                <w:b/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b/>
                <w:color w:val="EE0000"/>
                <w:sz w:val="18"/>
              </w:rPr>
              <w:t xml:space="preserve">AU </w:t>
            </w:r>
            <w:r w:rsidRPr="006C4BF5">
              <w:rPr>
                <w:b/>
                <w:color w:val="EE0000"/>
                <w:spacing w:val="-2"/>
                <w:sz w:val="18"/>
              </w:rPr>
              <w:t>Mortgage</w:t>
            </w:r>
          </w:p>
        </w:tc>
        <w:tc>
          <w:tcPr>
            <w:tcW w:w="1247" w:type="dxa"/>
            <w:shd w:val="clear" w:color="auto" w:fill="2B3D4F"/>
          </w:tcPr>
          <w:p w14:paraId="49900153" w14:textId="77777777" w:rsidR="000436DE" w:rsidRPr="006C4BF5" w:rsidRDefault="00601773">
            <w:pPr>
              <w:pStyle w:val="TableParagraph"/>
              <w:spacing w:line="254" w:lineRule="auto"/>
              <w:ind w:left="239" w:right="187" w:firstLine="23"/>
              <w:jc w:val="left"/>
              <w:rPr>
                <w:b/>
                <w:color w:val="EE0000"/>
                <w:sz w:val="18"/>
              </w:rPr>
            </w:pPr>
            <w:r w:rsidRPr="006C4BF5">
              <w:rPr>
                <w:b/>
                <w:color w:val="EE0000"/>
                <w:spacing w:val="-2"/>
                <w:sz w:val="18"/>
              </w:rPr>
              <w:t xml:space="preserve">Moody's </w:t>
            </w:r>
            <w:r w:rsidRPr="006C4BF5">
              <w:rPr>
                <w:b/>
                <w:color w:val="EE0000"/>
                <w:sz w:val="18"/>
              </w:rPr>
              <w:t>AA</w:t>
            </w:r>
            <w:r w:rsidRPr="006C4BF5">
              <w:rPr>
                <w:b/>
                <w:color w:val="EE0000"/>
                <w:spacing w:val="-2"/>
                <w:sz w:val="18"/>
              </w:rPr>
              <w:t xml:space="preserve"> </w:t>
            </w:r>
            <w:r w:rsidRPr="006C4BF5">
              <w:rPr>
                <w:b/>
                <w:color w:val="EE0000"/>
                <w:spacing w:val="-4"/>
                <w:sz w:val="18"/>
              </w:rPr>
              <w:t>Bond</w:t>
            </w:r>
          </w:p>
        </w:tc>
        <w:tc>
          <w:tcPr>
            <w:tcW w:w="1247" w:type="dxa"/>
            <w:shd w:val="clear" w:color="auto" w:fill="2B3D4F"/>
          </w:tcPr>
          <w:p w14:paraId="49900154" w14:textId="77777777" w:rsidR="000436DE" w:rsidRPr="006C4BF5" w:rsidRDefault="00601773">
            <w:pPr>
              <w:pStyle w:val="TableParagraph"/>
              <w:spacing w:line="254" w:lineRule="auto"/>
              <w:ind w:left="434" w:right="187" w:hanging="231"/>
              <w:jc w:val="left"/>
              <w:rPr>
                <w:b/>
                <w:color w:val="EE0000"/>
                <w:sz w:val="18"/>
              </w:rPr>
            </w:pPr>
            <w:r w:rsidRPr="006C4BF5">
              <w:rPr>
                <w:b/>
                <w:color w:val="EE0000"/>
                <w:sz w:val="18"/>
              </w:rPr>
              <w:t>AU</w:t>
            </w:r>
            <w:r w:rsidRPr="006C4BF5">
              <w:rPr>
                <w:b/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b/>
                <w:color w:val="EE0000"/>
                <w:sz w:val="18"/>
              </w:rPr>
              <w:t xml:space="preserve">RMBS </w:t>
            </w:r>
            <w:r w:rsidRPr="006C4BF5">
              <w:rPr>
                <w:b/>
                <w:color w:val="EE0000"/>
                <w:spacing w:val="-4"/>
                <w:sz w:val="18"/>
              </w:rPr>
              <w:t>(AA)</w:t>
            </w:r>
          </w:p>
        </w:tc>
        <w:tc>
          <w:tcPr>
            <w:tcW w:w="1417" w:type="dxa"/>
            <w:shd w:val="clear" w:color="auto" w:fill="2B3D4F"/>
          </w:tcPr>
          <w:p w14:paraId="49900155" w14:textId="77777777" w:rsidR="000436DE" w:rsidRPr="006C4BF5" w:rsidRDefault="00601773">
            <w:pPr>
              <w:pStyle w:val="TableParagraph"/>
              <w:ind w:left="13" w:right="1"/>
              <w:rPr>
                <w:b/>
                <w:color w:val="EE0000"/>
                <w:sz w:val="18"/>
              </w:rPr>
            </w:pPr>
            <w:r w:rsidRPr="006C4BF5">
              <w:rPr>
                <w:b/>
                <w:color w:val="EE0000"/>
                <w:sz w:val="18"/>
              </w:rPr>
              <w:t xml:space="preserve">S&amp;P; </w:t>
            </w:r>
            <w:r w:rsidRPr="006C4BF5">
              <w:rPr>
                <w:b/>
                <w:color w:val="EE0000"/>
                <w:spacing w:val="-5"/>
                <w:sz w:val="18"/>
              </w:rPr>
              <w:t>500</w:t>
            </w:r>
          </w:p>
          <w:p w14:paraId="49900156" w14:textId="77777777" w:rsidR="000436DE" w:rsidRPr="006C4BF5" w:rsidRDefault="00601773">
            <w:pPr>
              <w:pStyle w:val="TableParagraph"/>
              <w:spacing w:before="13"/>
              <w:ind w:left="13" w:right="1"/>
              <w:rPr>
                <w:b/>
                <w:color w:val="EE0000"/>
                <w:sz w:val="18"/>
              </w:rPr>
            </w:pPr>
            <w:r w:rsidRPr="006C4BF5">
              <w:rPr>
                <w:b/>
                <w:color w:val="EE0000"/>
                <w:spacing w:val="-2"/>
                <w:sz w:val="18"/>
              </w:rPr>
              <w:t>(30yr)</w:t>
            </w:r>
          </w:p>
        </w:tc>
      </w:tr>
      <w:tr w:rsidR="006C4BF5" w:rsidRPr="006C4BF5" w14:paraId="4990015E" w14:textId="77777777">
        <w:trPr>
          <w:trHeight w:val="590"/>
        </w:trPr>
        <w:tc>
          <w:tcPr>
            <w:tcW w:w="1814" w:type="dxa"/>
          </w:tcPr>
          <w:p w14:paraId="49900158" w14:textId="77777777" w:rsidR="000436DE" w:rsidRPr="006C4BF5" w:rsidRDefault="00601773">
            <w:pPr>
              <w:pStyle w:val="TableParagraph"/>
              <w:spacing w:line="254" w:lineRule="auto"/>
              <w:ind w:right="186"/>
              <w:jc w:val="left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Cumulative</w:t>
            </w:r>
            <w:r w:rsidRPr="006C4BF5">
              <w:rPr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 xml:space="preserve">default </w:t>
            </w:r>
            <w:r w:rsidRPr="006C4BF5">
              <w:rPr>
                <w:color w:val="EE0000"/>
                <w:spacing w:val="-2"/>
                <w:sz w:val="18"/>
              </w:rPr>
              <w:t>(30yr)</w:t>
            </w:r>
          </w:p>
        </w:tc>
        <w:tc>
          <w:tcPr>
            <w:tcW w:w="1247" w:type="dxa"/>
          </w:tcPr>
          <w:p w14:paraId="49900159" w14:textId="77777777" w:rsidR="000436DE" w:rsidRPr="006C4BF5" w:rsidRDefault="00601773">
            <w:pPr>
              <w:pStyle w:val="TableParagraph"/>
              <w:spacing w:before="196"/>
              <w:ind w:left="12" w:right="2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4"/>
                <w:sz w:val="18"/>
              </w:rPr>
              <w:t>1.2%</w:t>
            </w:r>
          </w:p>
        </w:tc>
        <w:tc>
          <w:tcPr>
            <w:tcW w:w="1417" w:type="dxa"/>
          </w:tcPr>
          <w:p w14:paraId="4990015A" w14:textId="77777777" w:rsidR="000436DE" w:rsidRPr="006C4BF5" w:rsidRDefault="00601773">
            <w:pPr>
              <w:pStyle w:val="TableParagraph"/>
              <w:spacing w:before="196"/>
              <w:ind w:left="13" w:right="2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3–</w:t>
            </w:r>
            <w:r w:rsidRPr="006C4BF5">
              <w:rPr>
                <w:color w:val="EE0000"/>
                <w:spacing w:val="-5"/>
                <w:sz w:val="18"/>
              </w:rPr>
              <w:t>5%</w:t>
            </w:r>
          </w:p>
        </w:tc>
        <w:tc>
          <w:tcPr>
            <w:tcW w:w="1247" w:type="dxa"/>
          </w:tcPr>
          <w:p w14:paraId="4990015B" w14:textId="77777777" w:rsidR="000436DE" w:rsidRPr="006C4BF5" w:rsidRDefault="00601773">
            <w:pPr>
              <w:pStyle w:val="TableParagraph"/>
              <w:spacing w:before="196"/>
              <w:ind w:left="12" w:right="1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2"/>
                <w:sz w:val="18"/>
              </w:rPr>
              <w:t>~1.5%</w:t>
            </w:r>
          </w:p>
        </w:tc>
        <w:tc>
          <w:tcPr>
            <w:tcW w:w="1247" w:type="dxa"/>
          </w:tcPr>
          <w:p w14:paraId="4990015C" w14:textId="77777777" w:rsidR="000436DE" w:rsidRPr="006C4BF5" w:rsidRDefault="00601773">
            <w:pPr>
              <w:pStyle w:val="TableParagraph"/>
              <w:spacing w:before="196"/>
              <w:ind w:left="12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~1–</w:t>
            </w:r>
            <w:r w:rsidRPr="006C4BF5">
              <w:rPr>
                <w:color w:val="EE0000"/>
                <w:spacing w:val="-5"/>
                <w:sz w:val="18"/>
              </w:rPr>
              <w:t>2%</w:t>
            </w:r>
          </w:p>
        </w:tc>
        <w:tc>
          <w:tcPr>
            <w:tcW w:w="1417" w:type="dxa"/>
          </w:tcPr>
          <w:p w14:paraId="4990015D" w14:textId="77777777" w:rsidR="000436DE" w:rsidRPr="006C4BF5" w:rsidRDefault="00601773">
            <w:pPr>
              <w:pStyle w:val="TableParagraph"/>
              <w:spacing w:line="254" w:lineRule="auto"/>
              <w:ind w:left="519" w:right="207" w:hanging="298"/>
              <w:jc w:val="left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~2–5%</w:t>
            </w:r>
            <w:r w:rsidRPr="006C4BF5">
              <w:rPr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 xml:space="preserve">(real </w:t>
            </w:r>
            <w:r w:rsidRPr="006C4BF5">
              <w:rPr>
                <w:color w:val="EE0000"/>
                <w:spacing w:val="-2"/>
                <w:sz w:val="18"/>
              </w:rPr>
              <w:t>loss)</w:t>
            </w:r>
          </w:p>
        </w:tc>
      </w:tr>
      <w:tr w:rsidR="006C4BF5" w:rsidRPr="006C4BF5" w14:paraId="49900166" w14:textId="77777777">
        <w:trPr>
          <w:trHeight w:val="590"/>
        </w:trPr>
        <w:tc>
          <w:tcPr>
            <w:tcW w:w="1814" w:type="dxa"/>
            <w:shd w:val="clear" w:color="auto" w:fill="F7F9F9"/>
          </w:tcPr>
          <w:p w14:paraId="4990015F" w14:textId="77777777" w:rsidR="000436DE" w:rsidRPr="006C4BF5" w:rsidRDefault="00601773">
            <w:pPr>
              <w:pStyle w:val="TableParagraph"/>
              <w:spacing w:line="254" w:lineRule="auto"/>
              <w:ind w:right="195"/>
              <w:jc w:val="left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Annualised</w:t>
            </w:r>
            <w:r w:rsidRPr="006C4BF5">
              <w:rPr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 xml:space="preserve">default </w:t>
            </w:r>
            <w:r w:rsidRPr="006C4BF5">
              <w:rPr>
                <w:color w:val="EE0000"/>
                <w:spacing w:val="-4"/>
                <w:sz w:val="18"/>
              </w:rPr>
              <w:t>rate</w:t>
            </w:r>
          </w:p>
        </w:tc>
        <w:tc>
          <w:tcPr>
            <w:tcW w:w="1247" w:type="dxa"/>
            <w:shd w:val="clear" w:color="auto" w:fill="F7F9F9"/>
          </w:tcPr>
          <w:p w14:paraId="49900160" w14:textId="77777777" w:rsidR="000436DE" w:rsidRPr="006C4BF5" w:rsidRDefault="00601773">
            <w:pPr>
              <w:pStyle w:val="TableParagraph"/>
              <w:spacing w:before="196"/>
              <w:ind w:left="12" w:right="2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2"/>
                <w:sz w:val="18"/>
              </w:rPr>
              <w:t>0.04%</w:t>
            </w:r>
          </w:p>
        </w:tc>
        <w:tc>
          <w:tcPr>
            <w:tcW w:w="1417" w:type="dxa"/>
            <w:shd w:val="clear" w:color="auto" w:fill="F7F9F9"/>
          </w:tcPr>
          <w:p w14:paraId="49900161" w14:textId="77777777" w:rsidR="000436DE" w:rsidRPr="006C4BF5" w:rsidRDefault="00601773">
            <w:pPr>
              <w:pStyle w:val="TableParagraph"/>
              <w:spacing w:before="196"/>
              <w:ind w:left="13" w:right="2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0.10–</w:t>
            </w:r>
            <w:r w:rsidRPr="006C4BF5">
              <w:rPr>
                <w:color w:val="EE0000"/>
                <w:spacing w:val="-2"/>
                <w:sz w:val="18"/>
              </w:rPr>
              <w:t>0.17%</w:t>
            </w:r>
          </w:p>
        </w:tc>
        <w:tc>
          <w:tcPr>
            <w:tcW w:w="1247" w:type="dxa"/>
            <w:shd w:val="clear" w:color="auto" w:fill="F7F9F9"/>
          </w:tcPr>
          <w:p w14:paraId="49900162" w14:textId="77777777" w:rsidR="000436DE" w:rsidRPr="006C4BF5" w:rsidRDefault="00601773">
            <w:pPr>
              <w:pStyle w:val="TableParagraph"/>
              <w:spacing w:before="196"/>
              <w:ind w:left="12" w:right="1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2"/>
                <w:sz w:val="18"/>
              </w:rPr>
              <w:t>~0.05%</w:t>
            </w:r>
          </w:p>
        </w:tc>
        <w:tc>
          <w:tcPr>
            <w:tcW w:w="1247" w:type="dxa"/>
            <w:shd w:val="clear" w:color="auto" w:fill="F7F9F9"/>
          </w:tcPr>
          <w:p w14:paraId="49900163" w14:textId="77777777" w:rsidR="000436DE" w:rsidRPr="006C4BF5" w:rsidRDefault="00601773">
            <w:pPr>
              <w:pStyle w:val="TableParagraph"/>
              <w:ind w:left="12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~0.03–</w:t>
            </w:r>
            <w:r w:rsidRPr="006C4BF5">
              <w:rPr>
                <w:color w:val="EE0000"/>
                <w:spacing w:val="-4"/>
                <w:sz w:val="18"/>
              </w:rPr>
              <w:t>0.07</w:t>
            </w:r>
          </w:p>
          <w:p w14:paraId="49900164" w14:textId="77777777" w:rsidR="000436DE" w:rsidRPr="006C4BF5" w:rsidRDefault="00601773">
            <w:pPr>
              <w:pStyle w:val="TableParagraph"/>
              <w:spacing w:before="13"/>
              <w:ind w:left="12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10"/>
                <w:sz w:val="18"/>
              </w:rPr>
              <w:t>%</w:t>
            </w:r>
          </w:p>
        </w:tc>
        <w:tc>
          <w:tcPr>
            <w:tcW w:w="1417" w:type="dxa"/>
            <w:shd w:val="clear" w:color="auto" w:fill="F7F9F9"/>
          </w:tcPr>
          <w:p w14:paraId="49900165" w14:textId="77777777" w:rsidR="000436DE" w:rsidRPr="006C4BF5" w:rsidRDefault="00601773">
            <w:pPr>
              <w:pStyle w:val="TableParagraph"/>
              <w:spacing w:before="196"/>
              <w:ind w:left="13" w:right="1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5"/>
                <w:sz w:val="18"/>
              </w:rPr>
              <w:t>n/a</w:t>
            </w:r>
          </w:p>
        </w:tc>
      </w:tr>
      <w:tr w:rsidR="006C4BF5" w:rsidRPr="006C4BF5" w14:paraId="4990016D" w14:textId="77777777">
        <w:trPr>
          <w:trHeight w:val="590"/>
        </w:trPr>
        <w:tc>
          <w:tcPr>
            <w:tcW w:w="1814" w:type="dxa"/>
          </w:tcPr>
          <w:p w14:paraId="49900167" w14:textId="77777777" w:rsidR="000436DE" w:rsidRPr="006C4BF5" w:rsidRDefault="00601773">
            <w:pPr>
              <w:pStyle w:val="TableParagraph"/>
              <w:spacing w:line="254" w:lineRule="auto"/>
              <w:ind w:right="626"/>
              <w:jc w:val="left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Loss</w:t>
            </w:r>
            <w:r w:rsidRPr="006C4BF5">
              <w:rPr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 xml:space="preserve">severity </w:t>
            </w:r>
            <w:r w:rsidRPr="006C4BF5">
              <w:rPr>
                <w:color w:val="EE0000"/>
                <w:spacing w:val="-2"/>
                <w:sz w:val="18"/>
              </w:rPr>
              <w:t>(LGD)</w:t>
            </w:r>
          </w:p>
        </w:tc>
        <w:tc>
          <w:tcPr>
            <w:tcW w:w="1247" w:type="dxa"/>
          </w:tcPr>
          <w:p w14:paraId="49900168" w14:textId="77777777" w:rsidR="000436DE" w:rsidRPr="006C4BF5" w:rsidRDefault="00601773">
            <w:pPr>
              <w:pStyle w:val="TableParagraph"/>
              <w:spacing w:line="254" w:lineRule="auto"/>
              <w:ind w:left="428" w:right="274" w:hanging="138"/>
              <w:jc w:val="left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~21%</w:t>
            </w:r>
            <w:r w:rsidRPr="006C4BF5">
              <w:rPr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 xml:space="preserve">of </w:t>
            </w:r>
            <w:r w:rsidRPr="006C4BF5">
              <w:rPr>
                <w:color w:val="EE0000"/>
                <w:spacing w:val="-4"/>
                <w:sz w:val="18"/>
              </w:rPr>
              <w:t>peak</w:t>
            </w:r>
          </w:p>
        </w:tc>
        <w:tc>
          <w:tcPr>
            <w:tcW w:w="1417" w:type="dxa"/>
          </w:tcPr>
          <w:p w14:paraId="49900169" w14:textId="77777777" w:rsidR="000436DE" w:rsidRPr="006C4BF5" w:rsidRDefault="00601773">
            <w:pPr>
              <w:pStyle w:val="TableParagraph"/>
              <w:spacing w:before="196"/>
              <w:ind w:left="13" w:right="2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20–</w:t>
            </w:r>
            <w:r w:rsidRPr="006C4BF5">
              <w:rPr>
                <w:color w:val="EE0000"/>
                <w:spacing w:val="-5"/>
                <w:sz w:val="18"/>
              </w:rPr>
              <w:t>40%</w:t>
            </w:r>
          </w:p>
        </w:tc>
        <w:tc>
          <w:tcPr>
            <w:tcW w:w="1247" w:type="dxa"/>
          </w:tcPr>
          <w:p w14:paraId="4990016A" w14:textId="77777777" w:rsidR="000436DE" w:rsidRPr="006C4BF5" w:rsidRDefault="00601773">
            <w:pPr>
              <w:pStyle w:val="TableParagraph"/>
              <w:spacing w:before="196"/>
              <w:ind w:left="12" w:right="1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40–</w:t>
            </w:r>
            <w:r w:rsidRPr="006C4BF5">
              <w:rPr>
                <w:color w:val="EE0000"/>
                <w:spacing w:val="-5"/>
                <w:sz w:val="18"/>
              </w:rPr>
              <w:t>60%</w:t>
            </w:r>
          </w:p>
        </w:tc>
        <w:tc>
          <w:tcPr>
            <w:tcW w:w="1247" w:type="dxa"/>
          </w:tcPr>
          <w:p w14:paraId="4990016B" w14:textId="77777777" w:rsidR="000436DE" w:rsidRPr="006C4BF5" w:rsidRDefault="00601773">
            <w:pPr>
              <w:pStyle w:val="TableParagraph"/>
              <w:spacing w:before="196"/>
              <w:ind w:left="12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2"/>
                <w:sz w:val="18"/>
              </w:rPr>
              <w:t>Subord.</w:t>
            </w:r>
          </w:p>
        </w:tc>
        <w:tc>
          <w:tcPr>
            <w:tcW w:w="1417" w:type="dxa"/>
          </w:tcPr>
          <w:p w14:paraId="4990016C" w14:textId="77777777" w:rsidR="000436DE" w:rsidRPr="006C4BF5" w:rsidRDefault="00601773">
            <w:pPr>
              <w:pStyle w:val="TableParagraph"/>
              <w:spacing w:line="254" w:lineRule="auto"/>
              <w:ind w:left="299" w:hanging="41"/>
              <w:jc w:val="left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Up</w:t>
            </w:r>
            <w:r w:rsidRPr="006C4BF5">
              <w:rPr>
                <w:color w:val="EE0000"/>
                <w:spacing w:val="-15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>to</w:t>
            </w:r>
            <w:r w:rsidRPr="006C4BF5">
              <w:rPr>
                <w:color w:val="EE0000"/>
                <w:spacing w:val="-12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 xml:space="preserve">-86% </w:t>
            </w:r>
            <w:r w:rsidRPr="006C4BF5">
              <w:rPr>
                <w:color w:val="EE0000"/>
                <w:spacing w:val="-2"/>
                <w:sz w:val="18"/>
              </w:rPr>
              <w:t>drawdown</w:t>
            </w:r>
          </w:p>
        </w:tc>
      </w:tr>
      <w:tr w:rsidR="006C4BF5" w:rsidRPr="006C4BF5" w14:paraId="49900174" w14:textId="77777777">
        <w:trPr>
          <w:trHeight w:val="590"/>
        </w:trPr>
        <w:tc>
          <w:tcPr>
            <w:tcW w:w="1814" w:type="dxa"/>
            <w:shd w:val="clear" w:color="auto" w:fill="F7F9F9"/>
          </w:tcPr>
          <w:p w14:paraId="4990016E" w14:textId="77777777" w:rsidR="000436DE" w:rsidRPr="006C4BF5" w:rsidRDefault="00601773">
            <w:pPr>
              <w:pStyle w:val="TableParagraph"/>
              <w:spacing w:line="254" w:lineRule="auto"/>
              <w:ind w:right="556"/>
              <w:jc w:val="left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Expected</w:t>
            </w:r>
            <w:r w:rsidRPr="006C4BF5">
              <w:rPr>
                <w:color w:val="EE0000"/>
                <w:spacing w:val="-13"/>
                <w:sz w:val="18"/>
              </w:rPr>
              <w:t xml:space="preserve"> </w:t>
            </w:r>
            <w:r w:rsidRPr="006C4BF5">
              <w:rPr>
                <w:color w:val="EE0000"/>
                <w:sz w:val="18"/>
              </w:rPr>
              <w:t xml:space="preserve">loss </w:t>
            </w:r>
            <w:r w:rsidRPr="006C4BF5">
              <w:rPr>
                <w:color w:val="EE0000"/>
                <w:spacing w:val="-2"/>
                <w:sz w:val="18"/>
              </w:rPr>
              <w:t>(30yr)</w:t>
            </w:r>
          </w:p>
        </w:tc>
        <w:tc>
          <w:tcPr>
            <w:tcW w:w="1247" w:type="dxa"/>
            <w:shd w:val="clear" w:color="auto" w:fill="F7F9F9"/>
          </w:tcPr>
          <w:p w14:paraId="4990016F" w14:textId="77777777" w:rsidR="000436DE" w:rsidRPr="006C4BF5" w:rsidRDefault="00601773">
            <w:pPr>
              <w:pStyle w:val="TableParagraph"/>
              <w:spacing w:before="196"/>
              <w:ind w:left="12" w:right="2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2"/>
                <w:sz w:val="18"/>
              </w:rPr>
              <w:t>0.13%</w:t>
            </w:r>
          </w:p>
        </w:tc>
        <w:tc>
          <w:tcPr>
            <w:tcW w:w="1417" w:type="dxa"/>
            <w:shd w:val="clear" w:color="auto" w:fill="F7F9F9"/>
          </w:tcPr>
          <w:p w14:paraId="49900170" w14:textId="77777777" w:rsidR="000436DE" w:rsidRPr="006C4BF5" w:rsidRDefault="00601773">
            <w:pPr>
              <w:pStyle w:val="TableParagraph"/>
              <w:spacing w:before="196"/>
              <w:ind w:left="13" w:right="2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0.6–</w:t>
            </w:r>
            <w:r w:rsidRPr="006C4BF5">
              <w:rPr>
                <w:color w:val="EE0000"/>
                <w:spacing w:val="-2"/>
                <w:sz w:val="18"/>
              </w:rPr>
              <w:t>1.25%</w:t>
            </w:r>
          </w:p>
        </w:tc>
        <w:tc>
          <w:tcPr>
            <w:tcW w:w="1247" w:type="dxa"/>
            <w:shd w:val="clear" w:color="auto" w:fill="F7F9F9"/>
          </w:tcPr>
          <w:p w14:paraId="49900171" w14:textId="77777777" w:rsidR="000436DE" w:rsidRPr="006C4BF5" w:rsidRDefault="00601773">
            <w:pPr>
              <w:pStyle w:val="TableParagraph"/>
              <w:spacing w:before="196"/>
              <w:ind w:left="12" w:right="1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0.6–</w:t>
            </w:r>
            <w:r w:rsidRPr="006C4BF5">
              <w:rPr>
                <w:color w:val="EE0000"/>
                <w:spacing w:val="-4"/>
                <w:sz w:val="18"/>
              </w:rPr>
              <w:t>0.9%</w:t>
            </w:r>
          </w:p>
        </w:tc>
        <w:tc>
          <w:tcPr>
            <w:tcW w:w="1247" w:type="dxa"/>
            <w:shd w:val="clear" w:color="auto" w:fill="F7F9F9"/>
          </w:tcPr>
          <w:p w14:paraId="49900172" w14:textId="77777777" w:rsidR="000436DE" w:rsidRPr="006C4BF5" w:rsidRDefault="00601773">
            <w:pPr>
              <w:pStyle w:val="TableParagraph"/>
              <w:spacing w:before="196"/>
              <w:ind w:left="12"/>
              <w:rPr>
                <w:color w:val="EE0000"/>
                <w:sz w:val="18"/>
              </w:rPr>
            </w:pPr>
            <w:r w:rsidRPr="006C4BF5">
              <w:rPr>
                <w:color w:val="EE0000"/>
                <w:sz w:val="18"/>
              </w:rPr>
              <w:t>0.05–</w:t>
            </w:r>
            <w:r w:rsidRPr="006C4BF5">
              <w:rPr>
                <w:color w:val="EE0000"/>
                <w:spacing w:val="-2"/>
                <w:sz w:val="18"/>
              </w:rPr>
              <w:t>0.15%</w:t>
            </w:r>
          </w:p>
        </w:tc>
        <w:tc>
          <w:tcPr>
            <w:tcW w:w="1417" w:type="dxa"/>
            <w:shd w:val="clear" w:color="auto" w:fill="F7F9F9"/>
          </w:tcPr>
          <w:p w14:paraId="49900173" w14:textId="77777777" w:rsidR="000436DE" w:rsidRPr="006C4BF5" w:rsidRDefault="00601773">
            <w:pPr>
              <w:pStyle w:val="TableParagraph"/>
              <w:spacing w:before="196"/>
              <w:ind w:left="13" w:right="1"/>
              <w:rPr>
                <w:color w:val="EE0000"/>
                <w:sz w:val="18"/>
              </w:rPr>
            </w:pPr>
            <w:r w:rsidRPr="006C4BF5">
              <w:rPr>
                <w:color w:val="EE0000"/>
                <w:spacing w:val="-5"/>
                <w:sz w:val="18"/>
              </w:rPr>
              <w:t>n/a</w:t>
            </w:r>
          </w:p>
        </w:tc>
      </w:tr>
    </w:tbl>
    <w:p w14:paraId="49900175" w14:textId="77777777" w:rsidR="000436DE" w:rsidRPr="006C4BF5" w:rsidRDefault="00601773">
      <w:pPr>
        <w:pStyle w:val="Heading3"/>
        <w:rPr>
          <w:color w:val="EE0000"/>
        </w:rPr>
      </w:pPr>
      <w:r w:rsidRPr="006C4BF5">
        <w:rPr>
          <w:color w:val="EE0000"/>
        </w:rPr>
        <w:t xml:space="preserve">Actuarial Assessment of Comparative Risk </w:t>
      </w:r>
      <w:r w:rsidRPr="006C4BF5">
        <w:rPr>
          <w:color w:val="EE0000"/>
          <w:spacing w:val="-2"/>
        </w:rPr>
        <w:t>Position</w:t>
      </w:r>
    </w:p>
    <w:p w14:paraId="49900176" w14:textId="77777777" w:rsidR="000436DE" w:rsidRPr="006C4BF5" w:rsidRDefault="00601773">
      <w:pPr>
        <w:pStyle w:val="ListParagraph"/>
        <w:numPr>
          <w:ilvl w:val="1"/>
          <w:numId w:val="1"/>
        </w:numPr>
        <w:tabs>
          <w:tab w:val="left" w:pos="562"/>
        </w:tabs>
        <w:spacing w:before="220" w:line="271" w:lineRule="auto"/>
        <w:ind w:right="611"/>
        <w:rPr>
          <w:color w:val="EE0000"/>
          <w:sz w:val="20"/>
        </w:rPr>
      </w:pPr>
      <w:r w:rsidRPr="006C4BF5">
        <w:rPr>
          <w:b/>
          <w:color w:val="EE0000"/>
          <w:sz w:val="20"/>
        </w:rPr>
        <w:t>Credit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b/>
          <w:color w:val="EE0000"/>
          <w:sz w:val="20"/>
        </w:rPr>
        <w:t>quality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b/>
          <w:color w:val="EE0000"/>
          <w:sz w:val="20"/>
        </w:rPr>
        <w:t>equivalent: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b/>
          <w:color w:val="EE0000"/>
          <w:sz w:val="20"/>
        </w:rPr>
        <w:t>AA.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The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EPM's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1.2%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cumulative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PoC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places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it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between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Moody's AAA (~0.5%) and AA (~1.5%) 30-year cumulative default rates. On an expected loss basis (0.13%), the product approaches AAA territory due to the low severity (~21% of peak loan versus 40–60% for unsecured bonds).</w:t>
      </w:r>
    </w:p>
    <w:p w14:paraId="49900177" w14:textId="77777777" w:rsidR="000436DE" w:rsidRPr="006C4BF5" w:rsidRDefault="00601773">
      <w:pPr>
        <w:pStyle w:val="ListParagraph"/>
        <w:numPr>
          <w:ilvl w:val="1"/>
          <w:numId w:val="1"/>
        </w:numPr>
        <w:tabs>
          <w:tab w:val="left" w:pos="562"/>
        </w:tabs>
        <w:spacing w:line="271" w:lineRule="auto"/>
        <w:ind w:right="547"/>
        <w:rPr>
          <w:color w:val="EE0000"/>
          <w:sz w:val="20"/>
        </w:rPr>
      </w:pPr>
      <w:r w:rsidRPr="006C4BF5">
        <w:rPr>
          <w:b/>
          <w:color w:val="EE0000"/>
          <w:sz w:val="20"/>
        </w:rPr>
        <w:t xml:space="preserve">Superior to traditional residential lending. </w:t>
      </w:r>
      <w:r w:rsidRPr="006C4BF5">
        <w:rPr>
          <w:color w:val="EE0000"/>
          <w:sz w:val="20"/>
        </w:rPr>
        <w:t>Standard Australian prime mortgages carry a</w:t>
      </w:r>
      <w:r w:rsidRPr="006C4BF5">
        <w:rPr>
          <w:color w:val="EE0000"/>
          <w:spacing w:val="40"/>
          <w:sz w:val="20"/>
        </w:rPr>
        <w:t xml:space="preserve"> </w:t>
      </w:r>
      <w:r w:rsidRPr="006C4BF5">
        <w:rPr>
          <w:color w:val="EE0000"/>
          <w:sz w:val="20"/>
        </w:rPr>
        <w:t>3–5%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cumulative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default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rate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over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30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years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—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approximately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3–4×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higher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than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the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EPM.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The structural advantage is the EPM's self-correcting investment account: mean reversion limits extreme deviation, the 80/140 collar caps annual returns, the holiday mechanism suspends costs during stress periods, and the run-off mechanism eliminates prepayment risk.</w:t>
      </w:r>
    </w:p>
    <w:p w14:paraId="49900178" w14:textId="77777777" w:rsidR="000436DE" w:rsidRPr="006C4BF5" w:rsidRDefault="00601773">
      <w:pPr>
        <w:pStyle w:val="ListParagraph"/>
        <w:numPr>
          <w:ilvl w:val="1"/>
          <w:numId w:val="1"/>
        </w:numPr>
        <w:tabs>
          <w:tab w:val="left" w:pos="562"/>
        </w:tabs>
        <w:spacing w:line="271" w:lineRule="auto"/>
        <w:ind w:right="388"/>
        <w:rPr>
          <w:color w:val="EE0000"/>
          <w:sz w:val="20"/>
        </w:rPr>
      </w:pPr>
      <w:r w:rsidRPr="006C4BF5">
        <w:rPr>
          <w:b/>
          <w:color w:val="EE0000"/>
          <w:sz w:val="20"/>
        </w:rPr>
        <w:t>Risk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b/>
          <w:color w:val="EE0000"/>
          <w:sz w:val="20"/>
        </w:rPr>
        <w:t>driver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b/>
          <w:color w:val="EE0000"/>
          <w:sz w:val="20"/>
        </w:rPr>
        <w:t>is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b/>
          <w:color w:val="EE0000"/>
          <w:sz w:val="20"/>
        </w:rPr>
        <w:t>fundamentally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b/>
          <w:color w:val="EE0000"/>
          <w:sz w:val="20"/>
        </w:rPr>
        <w:t>different.</w:t>
      </w:r>
      <w:r w:rsidRPr="006C4BF5">
        <w:rPr>
          <w:b/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Traditional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mortgage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default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risk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is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driven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by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 xml:space="preserve">borrower income, employment, and interest rate affordability. EPM risk is driven by long-term equity market performance relative to interest rates. These risk factors are largely uncorrelated over 30-year horizons, which has important implications for portfolio construction and reinsurance </w:t>
      </w:r>
      <w:r w:rsidRPr="006C4BF5">
        <w:rPr>
          <w:color w:val="EE0000"/>
          <w:spacing w:val="-2"/>
          <w:sz w:val="20"/>
        </w:rPr>
        <w:t>diversification.</w:t>
      </w:r>
    </w:p>
    <w:p w14:paraId="49900179" w14:textId="77777777" w:rsidR="000436DE" w:rsidRPr="006C4BF5" w:rsidRDefault="00601773">
      <w:pPr>
        <w:pStyle w:val="ListParagraph"/>
        <w:numPr>
          <w:ilvl w:val="1"/>
          <w:numId w:val="1"/>
        </w:numPr>
        <w:tabs>
          <w:tab w:val="left" w:pos="562"/>
        </w:tabs>
        <w:spacing w:line="271" w:lineRule="auto"/>
        <w:ind w:right="331"/>
        <w:rPr>
          <w:color w:val="EE0000"/>
          <w:sz w:val="20"/>
        </w:rPr>
      </w:pPr>
      <w:r w:rsidRPr="006C4BF5">
        <w:rPr>
          <w:b/>
          <w:color w:val="EE0000"/>
          <w:sz w:val="20"/>
        </w:rPr>
        <w:t xml:space="preserve">Structural protections are conservative. </w:t>
      </w:r>
      <w:r w:rsidRPr="006C4BF5">
        <w:rPr>
          <w:color w:val="EE0000"/>
          <w:sz w:val="20"/>
        </w:rPr>
        <w:t>The combination of mean-reverting equity model, collar hedging, holiday mechanism, P&amp;I; amortisation, and full insurance coverage from $0 represents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a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multi-layered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protection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framework.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No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single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parameter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failure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can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cause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a</w:t>
      </w:r>
      <w:r w:rsidRPr="006C4BF5">
        <w:rPr>
          <w:color w:val="EE0000"/>
          <w:spacing w:val="-3"/>
          <w:sz w:val="20"/>
        </w:rPr>
        <w:t xml:space="preserve"> </w:t>
      </w:r>
      <w:r w:rsidRPr="006C4BF5">
        <w:rPr>
          <w:color w:val="EE0000"/>
          <w:sz w:val="20"/>
        </w:rPr>
        <w:t>deficit</w:t>
      </w:r>
    </w:p>
    <w:p w14:paraId="4990017A" w14:textId="77777777" w:rsidR="000436DE" w:rsidRPr="006C4BF5" w:rsidRDefault="00601773">
      <w:pPr>
        <w:pStyle w:val="BodyText"/>
        <w:spacing w:before="1"/>
        <w:ind w:left="562"/>
        <w:rPr>
          <w:color w:val="EE0000"/>
        </w:rPr>
      </w:pPr>
      <w:r w:rsidRPr="006C4BF5">
        <w:rPr>
          <w:color w:val="EE0000"/>
        </w:rPr>
        <w:t xml:space="preserve">— multiple adverse conditions must coincide over the full 30-year </w:t>
      </w:r>
      <w:r w:rsidRPr="006C4BF5">
        <w:rPr>
          <w:color w:val="EE0000"/>
          <w:spacing w:val="-2"/>
        </w:rPr>
        <w:t>term.</w:t>
      </w:r>
    </w:p>
    <w:p w14:paraId="4990017B" w14:textId="77777777" w:rsidR="000436DE" w:rsidRDefault="000436DE">
      <w:pPr>
        <w:pStyle w:val="BodyText"/>
        <w:sectPr w:rsidR="000436DE">
          <w:pgSz w:w="11910" w:h="16840"/>
          <w:pgMar w:top="1480" w:right="1275" w:bottom="820" w:left="1275" w:header="0" w:footer="625" w:gutter="0"/>
          <w:cols w:space="720"/>
        </w:sectPr>
      </w:pPr>
    </w:p>
    <w:p w14:paraId="4990017C" w14:textId="77777777" w:rsidR="000436DE" w:rsidRDefault="00601773">
      <w:pPr>
        <w:pStyle w:val="Heading1"/>
      </w:pPr>
      <w:r>
        <w:rPr>
          <w:color w:val="2B3D4F"/>
          <w:spacing w:val="-2"/>
        </w:rPr>
        <w:lastRenderedPageBreak/>
        <w:t>Conclusion</w:t>
      </w:r>
    </w:p>
    <w:p w14:paraId="4990017D" w14:textId="2165D18C" w:rsidR="000436DE" w:rsidRDefault="00601773">
      <w:pPr>
        <w:pStyle w:val="BodyText"/>
        <w:spacing w:before="242" w:line="292" w:lineRule="auto"/>
        <w:ind w:left="262" w:right="259"/>
        <w:jc w:val="both"/>
      </w:pPr>
      <w:r>
        <w:rPr>
          <w:color w:val="2B3D4F"/>
        </w:rPr>
        <w:t>The v14c (</w:t>
      </w:r>
      <w:r w:rsidR="00CD2CC6">
        <w:rPr>
          <w:color w:val="2B3D4F"/>
        </w:rPr>
        <w:t>Optimized</w:t>
      </w:r>
      <w:r>
        <w:rPr>
          <w:color w:val="2B3D4F"/>
        </w:rPr>
        <w:t>) model produces a base case PoD of 1.2% with a mean surplus of $2,435,992 — well within the range that institutional investors and reinsurers would consider investable.</w:t>
      </w:r>
    </w:p>
    <w:p w14:paraId="4990017E" w14:textId="77777777" w:rsidR="000436DE" w:rsidRDefault="00601773">
      <w:pPr>
        <w:pStyle w:val="BodyText"/>
        <w:spacing w:before="169" w:line="292" w:lineRule="auto"/>
        <w:ind w:left="262" w:right="259"/>
        <w:jc w:val="both"/>
      </w:pPr>
      <w:r>
        <w:rPr>
          <w:color w:val="2B3D4F"/>
        </w:rPr>
        <w:t>The key risk is parameter sensitivity. The product performs well under a wide range of equity return and volatility assumptions, but is highly sensitive to cash rate levels. The mean-reverting equity model is central to the risk profile, and its continued validity should be monitored and documented.</w:t>
      </w:r>
    </w:p>
    <w:p w14:paraId="4990017F" w14:textId="58363308" w:rsidR="000436DE" w:rsidRDefault="00601773">
      <w:pPr>
        <w:pStyle w:val="BodyText"/>
        <w:spacing w:before="169" w:line="292" w:lineRule="auto"/>
        <w:ind w:left="262" w:right="259"/>
        <w:jc w:val="both"/>
      </w:pPr>
      <w:r>
        <w:rPr>
          <w:color w:val="2B3D4F"/>
        </w:rPr>
        <w:t>Overall, the v14c (</w:t>
      </w:r>
      <w:r w:rsidR="00CD2CC6">
        <w:rPr>
          <w:color w:val="2B3D4F"/>
        </w:rPr>
        <w:t>Optimized</w:t>
      </w:r>
      <w:r>
        <w:rPr>
          <w:color w:val="2B3D4F"/>
        </w:rPr>
        <w:t>) model is a credible, well-constructed quantitative framework for the EPM product. With appropriate insurance structures (LMI + tail risk reinsurance), the product is commercially viable under base case assumptions and resilient under mo</w:t>
      </w:r>
      <w:r w:rsidR="00201C1D">
        <w:rPr>
          <w:color w:val="2B3D4F"/>
        </w:rPr>
        <w:t>st</w:t>
      </w:r>
      <w:r>
        <w:rPr>
          <w:color w:val="2B3D4F"/>
        </w:rPr>
        <w:t xml:space="preserve"> stress scenarios</w:t>
      </w:r>
      <w:r w:rsidR="00460DA4">
        <w:rPr>
          <w:color w:val="2B3D4F"/>
        </w:rPr>
        <w:t xml:space="preserve"> given i</w:t>
      </w:r>
      <w:r>
        <w:rPr>
          <w:color w:val="2B3D4F"/>
        </w:rPr>
        <w:t>.</w:t>
      </w:r>
    </w:p>
    <w:p w14:paraId="49900180" w14:textId="77777777" w:rsidR="000436DE" w:rsidRDefault="000436DE">
      <w:pPr>
        <w:pStyle w:val="BodyText"/>
      </w:pPr>
    </w:p>
    <w:p w14:paraId="49900181" w14:textId="77777777" w:rsidR="000436DE" w:rsidRDefault="000436DE">
      <w:pPr>
        <w:pStyle w:val="BodyText"/>
      </w:pPr>
    </w:p>
    <w:p w14:paraId="49900182" w14:textId="77777777" w:rsidR="000436DE" w:rsidRDefault="000436DE">
      <w:pPr>
        <w:pStyle w:val="BodyText"/>
      </w:pPr>
    </w:p>
    <w:p w14:paraId="49900183" w14:textId="77777777" w:rsidR="000436DE" w:rsidRDefault="000436DE">
      <w:pPr>
        <w:pStyle w:val="BodyText"/>
      </w:pPr>
    </w:p>
    <w:p w14:paraId="49900184" w14:textId="77777777" w:rsidR="000436DE" w:rsidRDefault="000436DE">
      <w:pPr>
        <w:pStyle w:val="BodyText"/>
        <w:spacing w:before="48"/>
      </w:pPr>
    </w:p>
    <w:p w14:paraId="49900185" w14:textId="096BC800" w:rsidR="000436DE" w:rsidRPr="009668D0" w:rsidRDefault="00601773">
      <w:pPr>
        <w:spacing w:before="1"/>
        <w:ind w:left="262"/>
        <w:rPr>
          <w:b/>
          <w:color w:val="009999"/>
          <w:sz w:val="48"/>
          <w:szCs w:val="32"/>
        </w:rPr>
      </w:pPr>
      <w:r w:rsidRPr="009668D0">
        <w:rPr>
          <w:b/>
          <w:color w:val="009999"/>
          <w:sz w:val="48"/>
          <w:szCs w:val="32"/>
        </w:rPr>
        <w:t>Appendix</w:t>
      </w:r>
      <w:r w:rsidR="0080497C" w:rsidRPr="009668D0">
        <w:rPr>
          <w:b/>
          <w:color w:val="009999"/>
          <w:sz w:val="48"/>
          <w:szCs w:val="32"/>
        </w:rPr>
        <w:t xml:space="preserve"> A</w:t>
      </w:r>
      <w:r w:rsidRPr="009668D0">
        <w:rPr>
          <w:b/>
          <w:color w:val="009999"/>
          <w:sz w:val="48"/>
          <w:szCs w:val="32"/>
        </w:rPr>
        <w:t xml:space="preserve">: </w:t>
      </w:r>
      <w:r w:rsidRPr="009668D0">
        <w:rPr>
          <w:b/>
          <w:color w:val="009999"/>
          <w:spacing w:val="-2"/>
          <w:sz w:val="48"/>
          <w:szCs w:val="32"/>
        </w:rPr>
        <w:t>Methodology</w:t>
      </w:r>
    </w:p>
    <w:p w14:paraId="49900186" w14:textId="77777777" w:rsidR="000436DE" w:rsidRDefault="000436DE">
      <w:pPr>
        <w:pStyle w:val="BodyText"/>
        <w:spacing w:before="6" w:after="1"/>
        <w:rPr>
          <w:b/>
          <w:sz w:val="19"/>
        </w:rPr>
      </w:pPr>
    </w:p>
    <w:tbl>
      <w:tblPr>
        <w:tblW w:w="0" w:type="auto"/>
        <w:tblInd w:w="289" w:type="dxa"/>
        <w:tblBorders>
          <w:top w:val="single" w:sz="4" w:space="0" w:color="95A5A5"/>
          <w:left w:val="single" w:sz="4" w:space="0" w:color="95A5A5"/>
          <w:bottom w:val="single" w:sz="4" w:space="0" w:color="95A5A5"/>
          <w:right w:val="single" w:sz="4" w:space="0" w:color="95A5A5"/>
          <w:insideH w:val="single" w:sz="4" w:space="0" w:color="95A5A5"/>
          <w:insideV w:val="single" w:sz="4" w:space="0" w:color="9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118"/>
        <w:gridCol w:w="3401"/>
      </w:tblGrid>
      <w:tr w:rsidR="000436DE" w14:paraId="4990018A" w14:textId="77777777">
        <w:trPr>
          <w:trHeight w:val="370"/>
        </w:trPr>
        <w:tc>
          <w:tcPr>
            <w:tcW w:w="2268" w:type="dxa"/>
            <w:shd w:val="clear" w:color="auto" w:fill="2B3D4F"/>
          </w:tcPr>
          <w:p w14:paraId="49900187" w14:textId="77777777" w:rsidR="000436DE" w:rsidRDefault="00601773"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3118" w:type="dxa"/>
            <w:shd w:val="clear" w:color="auto" w:fill="2B3D4F"/>
          </w:tcPr>
          <w:p w14:paraId="49900188" w14:textId="77777777" w:rsidR="000436DE" w:rsidRDefault="00601773">
            <w:pPr>
              <w:pStyle w:val="TableParagraph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3401" w:type="dxa"/>
            <w:shd w:val="clear" w:color="auto" w:fill="2B3D4F"/>
          </w:tcPr>
          <w:p w14:paraId="49900189" w14:textId="77777777" w:rsidR="000436DE" w:rsidRDefault="00601773">
            <w:pPr>
              <w:pStyle w:val="TableParagraph"/>
              <w:ind w:left="53" w:right="4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Parameters</w:t>
            </w:r>
          </w:p>
        </w:tc>
      </w:tr>
      <w:tr w:rsidR="000436DE" w14:paraId="4990018E" w14:textId="77777777">
        <w:trPr>
          <w:trHeight w:val="590"/>
        </w:trPr>
        <w:tc>
          <w:tcPr>
            <w:tcW w:w="2268" w:type="dxa"/>
          </w:tcPr>
          <w:p w14:paraId="4990018B" w14:textId="77777777" w:rsidR="000436DE" w:rsidRDefault="00601773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Equity </w:t>
            </w:r>
            <w:r>
              <w:rPr>
                <w:color w:val="2B3D4F"/>
                <w:spacing w:val="-2"/>
                <w:sz w:val="18"/>
              </w:rPr>
              <w:t>Returns</w:t>
            </w:r>
          </w:p>
        </w:tc>
        <w:tc>
          <w:tcPr>
            <w:tcW w:w="3118" w:type="dxa"/>
          </w:tcPr>
          <w:p w14:paraId="4990018C" w14:textId="77777777" w:rsidR="000436DE" w:rsidRDefault="00601773">
            <w:pPr>
              <w:pStyle w:val="TableParagraph"/>
              <w:spacing w:line="254" w:lineRule="auto"/>
              <w:ind w:left="778" w:right="584" w:hanging="183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GBM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+</w:t>
            </w:r>
            <w:r>
              <w:rPr>
                <w:color w:val="2B3D4F"/>
                <w:spacing w:val="-1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Mean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Reversion (Shevchenko 2026)</w:t>
            </w:r>
          </w:p>
        </w:tc>
        <w:tc>
          <w:tcPr>
            <w:tcW w:w="3401" w:type="dxa"/>
          </w:tcPr>
          <w:p w14:paraId="4990018D" w14:textId="77777777" w:rsidR="000436DE" w:rsidRDefault="00601773">
            <w:pPr>
              <w:pStyle w:val="TableParagraph"/>
              <w:spacing w:before="184"/>
              <w:ind w:left="53" w:right="43"/>
              <w:rPr>
                <w:sz w:val="18"/>
              </w:rPr>
            </w:pPr>
            <w:r>
              <w:rPr>
                <w:rFonts w:ascii="Symbol" w:hAnsi="Symbol"/>
                <w:color w:val="2B3D4F"/>
                <w:sz w:val="18"/>
              </w:rPr>
              <w:t></w:t>
            </w:r>
            <w:r>
              <w:rPr>
                <w:color w:val="2B3D4F"/>
                <w:sz w:val="18"/>
              </w:rPr>
              <w:t xml:space="preserve">=9.2%, </w:t>
            </w:r>
            <w:r>
              <w:rPr>
                <w:rFonts w:ascii="Symbol" w:hAnsi="Symbol"/>
                <w:color w:val="2B3D4F"/>
                <w:sz w:val="18"/>
              </w:rPr>
              <w:t></w:t>
            </w:r>
            <w:r>
              <w:rPr>
                <w:color w:val="2B3D4F"/>
                <w:sz w:val="18"/>
              </w:rPr>
              <w:t xml:space="preserve">=16.6%, </w:t>
            </w:r>
            <w:r>
              <w:rPr>
                <w:rFonts w:ascii="Symbol" w:hAnsi="Symbol"/>
                <w:color w:val="2B3D4F"/>
                <w:spacing w:val="-2"/>
                <w:sz w:val="18"/>
              </w:rPr>
              <w:t></w:t>
            </w:r>
            <w:r>
              <w:rPr>
                <w:color w:val="2B3D4F"/>
                <w:spacing w:val="-2"/>
                <w:sz w:val="18"/>
              </w:rPr>
              <w:t>=0.163</w:t>
            </w:r>
          </w:p>
        </w:tc>
      </w:tr>
      <w:tr w:rsidR="000436DE" w14:paraId="49900192" w14:textId="77777777">
        <w:trPr>
          <w:trHeight w:val="370"/>
        </w:trPr>
        <w:tc>
          <w:tcPr>
            <w:tcW w:w="2268" w:type="dxa"/>
            <w:shd w:val="clear" w:color="auto" w:fill="F7F9F9"/>
          </w:tcPr>
          <w:p w14:paraId="4990018F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Volatility </w:t>
            </w:r>
            <w:r>
              <w:rPr>
                <w:color w:val="2B3D4F"/>
                <w:spacing w:val="-2"/>
                <w:sz w:val="18"/>
              </w:rPr>
              <w:t>Buffer</w:t>
            </w:r>
          </w:p>
        </w:tc>
        <w:tc>
          <w:tcPr>
            <w:tcW w:w="3118" w:type="dxa"/>
            <w:shd w:val="clear" w:color="auto" w:fill="F7F9F9"/>
          </w:tcPr>
          <w:p w14:paraId="49900190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Cap/Floor on annual </w:t>
            </w:r>
            <w:r>
              <w:rPr>
                <w:color w:val="2B3D4F"/>
                <w:spacing w:val="-2"/>
                <w:sz w:val="18"/>
              </w:rPr>
              <w:t>returns</w:t>
            </w:r>
          </w:p>
        </w:tc>
        <w:tc>
          <w:tcPr>
            <w:tcW w:w="3401" w:type="dxa"/>
            <w:shd w:val="clear" w:color="auto" w:fill="F7F9F9"/>
          </w:tcPr>
          <w:p w14:paraId="49900191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>Cap: +40%, Floor: -</w:t>
            </w:r>
            <w:r>
              <w:rPr>
                <w:color w:val="2B3D4F"/>
                <w:spacing w:val="-5"/>
                <w:sz w:val="18"/>
              </w:rPr>
              <w:t>20%</w:t>
            </w:r>
          </w:p>
        </w:tc>
      </w:tr>
      <w:tr w:rsidR="000436DE" w14:paraId="49900196" w14:textId="77777777">
        <w:trPr>
          <w:trHeight w:val="590"/>
        </w:trPr>
        <w:tc>
          <w:tcPr>
            <w:tcW w:w="2268" w:type="dxa"/>
          </w:tcPr>
          <w:p w14:paraId="49900193" w14:textId="77777777" w:rsidR="000436DE" w:rsidRDefault="00601773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Cash </w:t>
            </w:r>
            <w:r>
              <w:rPr>
                <w:color w:val="2B3D4F"/>
                <w:spacing w:val="-4"/>
                <w:sz w:val="18"/>
              </w:rPr>
              <w:t>Rate</w:t>
            </w:r>
          </w:p>
        </w:tc>
        <w:tc>
          <w:tcPr>
            <w:tcW w:w="3118" w:type="dxa"/>
          </w:tcPr>
          <w:p w14:paraId="49900194" w14:textId="77777777" w:rsidR="000436DE" w:rsidRDefault="00601773">
            <w:pPr>
              <w:pStyle w:val="TableParagraph"/>
              <w:spacing w:line="254" w:lineRule="auto"/>
              <w:ind w:left="1003" w:right="478" w:hanging="511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Ornstein-Uhlenbeck</w:t>
            </w:r>
            <w:r>
              <w:rPr>
                <w:color w:val="2B3D4F"/>
                <w:spacing w:val="-1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(exact </w:t>
            </w:r>
            <w:r>
              <w:rPr>
                <w:color w:val="2B3D4F"/>
                <w:spacing w:val="-2"/>
                <w:sz w:val="18"/>
              </w:rPr>
              <w:t>discretisation)</w:t>
            </w:r>
          </w:p>
        </w:tc>
        <w:tc>
          <w:tcPr>
            <w:tcW w:w="3401" w:type="dxa"/>
          </w:tcPr>
          <w:p w14:paraId="49900195" w14:textId="77777777" w:rsidR="000436DE" w:rsidRDefault="00601773">
            <w:pPr>
              <w:pStyle w:val="TableParagraph"/>
              <w:spacing w:before="181"/>
              <w:ind w:left="53"/>
              <w:rPr>
                <w:sz w:val="18"/>
              </w:rPr>
            </w:pPr>
            <w:r>
              <w:rPr>
                <w:rFonts w:ascii="Symbol" w:hAnsi="Symbol"/>
                <w:color w:val="2B3D4F"/>
                <w:sz w:val="18"/>
              </w:rPr>
              <w:t></w:t>
            </w:r>
            <w:r>
              <w:rPr>
                <w:color w:val="2B3D4F"/>
                <w:sz w:val="18"/>
              </w:rPr>
              <w:t xml:space="preserve">=2.13%, </w:t>
            </w:r>
            <w:r>
              <w:rPr>
                <w:rFonts w:ascii="Symbol" w:hAnsi="Symbol"/>
                <w:color w:val="2B3D4F"/>
                <w:sz w:val="18"/>
              </w:rPr>
              <w:t></w:t>
            </w:r>
            <w:r>
              <w:rPr>
                <w:color w:val="2B3D4F"/>
                <w:sz w:val="18"/>
              </w:rPr>
              <w:t xml:space="preserve">=0.24, </w:t>
            </w:r>
            <w:r>
              <w:rPr>
                <w:rFonts w:ascii="Symbol" w:hAnsi="Symbol"/>
                <w:color w:val="2B3D4F"/>
                <w:sz w:val="18"/>
              </w:rPr>
              <w:t></w:t>
            </w:r>
            <w:r>
              <w:rPr>
                <w:color w:val="2B3D4F"/>
                <w:sz w:val="18"/>
              </w:rPr>
              <w:t xml:space="preserve">=1.22%, </w:t>
            </w:r>
            <w:r>
              <w:rPr>
                <w:color w:val="2B3D4F"/>
                <w:spacing w:val="-2"/>
                <w:sz w:val="18"/>
              </w:rPr>
              <w:t>r</w:t>
            </w:r>
            <w:r>
              <w:rPr>
                <w:rFonts w:ascii="MS Gothic" w:hAnsi="MS Gothic"/>
                <w:color w:val="2B3D4F"/>
                <w:spacing w:val="-2"/>
                <w:sz w:val="18"/>
              </w:rPr>
              <w:t>■</w:t>
            </w:r>
            <w:r>
              <w:rPr>
                <w:color w:val="2B3D4F"/>
                <w:spacing w:val="-2"/>
                <w:sz w:val="18"/>
              </w:rPr>
              <w:t>=4.21%</w:t>
            </w:r>
          </w:p>
        </w:tc>
      </w:tr>
      <w:tr w:rsidR="000436DE" w14:paraId="4990019A" w14:textId="77777777">
        <w:trPr>
          <w:trHeight w:val="370"/>
        </w:trPr>
        <w:tc>
          <w:tcPr>
            <w:tcW w:w="2268" w:type="dxa"/>
            <w:shd w:val="clear" w:color="auto" w:fill="F7F9F9"/>
          </w:tcPr>
          <w:p w14:paraId="49900197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Equity-Rate </w:t>
            </w:r>
            <w:r>
              <w:rPr>
                <w:color w:val="2B3D4F"/>
                <w:spacing w:val="-2"/>
                <w:sz w:val="18"/>
              </w:rPr>
              <w:t>Correlation</w:t>
            </w:r>
          </w:p>
        </w:tc>
        <w:tc>
          <w:tcPr>
            <w:tcW w:w="3118" w:type="dxa"/>
            <w:shd w:val="clear" w:color="auto" w:fill="F7F9F9"/>
          </w:tcPr>
          <w:p w14:paraId="49900198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Cholesky </w:t>
            </w:r>
            <w:r>
              <w:rPr>
                <w:color w:val="2B3D4F"/>
                <w:spacing w:val="-2"/>
                <w:sz w:val="18"/>
              </w:rPr>
              <w:t>decomposition</w:t>
            </w:r>
          </w:p>
        </w:tc>
        <w:tc>
          <w:tcPr>
            <w:tcW w:w="3401" w:type="dxa"/>
            <w:shd w:val="clear" w:color="auto" w:fill="F7F9F9"/>
          </w:tcPr>
          <w:p w14:paraId="49900199" w14:textId="77777777" w:rsidR="000436DE" w:rsidRDefault="00601773">
            <w:pPr>
              <w:pStyle w:val="TableParagraph"/>
              <w:spacing w:before="74"/>
              <w:ind w:left="53" w:right="43"/>
              <w:rPr>
                <w:sz w:val="18"/>
              </w:rPr>
            </w:pPr>
            <w:r>
              <w:rPr>
                <w:rFonts w:ascii="Symbol" w:hAnsi="Symbol"/>
                <w:color w:val="2B3D4F"/>
                <w:sz w:val="18"/>
              </w:rPr>
              <w:t></w:t>
            </w:r>
            <w:r>
              <w:rPr>
                <w:rFonts w:ascii="Times New Roman" w:hAnsi="Times New Roman"/>
                <w:color w:val="2B3D4F"/>
                <w:spacing w:val="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= </w:t>
            </w:r>
            <w:r>
              <w:rPr>
                <w:color w:val="2B3D4F"/>
                <w:spacing w:val="-4"/>
                <w:sz w:val="18"/>
              </w:rPr>
              <w:t>0.30</w:t>
            </w:r>
          </w:p>
        </w:tc>
      </w:tr>
      <w:tr w:rsidR="000436DE" w14:paraId="4990019E" w14:textId="77777777">
        <w:trPr>
          <w:trHeight w:val="370"/>
        </w:trPr>
        <w:tc>
          <w:tcPr>
            <w:tcW w:w="2268" w:type="dxa"/>
          </w:tcPr>
          <w:p w14:paraId="4990019B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Collar </w:t>
            </w:r>
            <w:r>
              <w:rPr>
                <w:color w:val="2B3D4F"/>
                <w:spacing w:val="-2"/>
                <w:sz w:val="18"/>
              </w:rPr>
              <w:t>Hedge</w:t>
            </w:r>
          </w:p>
        </w:tc>
        <w:tc>
          <w:tcPr>
            <w:tcW w:w="3118" w:type="dxa"/>
          </w:tcPr>
          <w:p w14:paraId="4990019C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Calculated put-</w:t>
            </w:r>
            <w:r>
              <w:rPr>
                <w:color w:val="2B3D4F"/>
                <w:spacing w:val="-4"/>
                <w:sz w:val="18"/>
              </w:rPr>
              <w:t>call</w:t>
            </w:r>
          </w:p>
        </w:tc>
        <w:tc>
          <w:tcPr>
            <w:tcW w:w="3401" w:type="dxa"/>
          </w:tcPr>
          <w:p w14:paraId="4990019D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Net cost: +0.046% p.a. (near </w:t>
            </w:r>
            <w:r>
              <w:rPr>
                <w:color w:val="2B3D4F"/>
                <w:spacing w:val="-2"/>
                <w:sz w:val="18"/>
              </w:rPr>
              <w:t>zero)</w:t>
            </w:r>
          </w:p>
        </w:tc>
      </w:tr>
      <w:tr w:rsidR="000436DE" w14:paraId="499001A3" w14:textId="77777777">
        <w:trPr>
          <w:trHeight w:val="590"/>
        </w:trPr>
        <w:tc>
          <w:tcPr>
            <w:tcW w:w="2268" w:type="dxa"/>
            <w:shd w:val="clear" w:color="auto" w:fill="F7F9F9"/>
          </w:tcPr>
          <w:p w14:paraId="4990019F" w14:textId="77777777" w:rsidR="000436DE" w:rsidRDefault="00601773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Variable </w:t>
            </w:r>
            <w:r>
              <w:rPr>
                <w:color w:val="2B3D4F"/>
                <w:spacing w:val="-2"/>
                <w:sz w:val="18"/>
              </w:rPr>
              <w:t>Costs</w:t>
            </w:r>
          </w:p>
        </w:tc>
        <w:tc>
          <w:tcPr>
            <w:tcW w:w="3118" w:type="dxa"/>
            <w:shd w:val="clear" w:color="auto" w:fill="F7F9F9"/>
          </w:tcPr>
          <w:p w14:paraId="499001A0" w14:textId="77777777" w:rsidR="000436DE" w:rsidRDefault="00601773">
            <w:pPr>
              <w:pStyle w:val="TableParagraph"/>
              <w:spacing w:before="196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Fixed </w:t>
            </w:r>
            <w:r>
              <w:rPr>
                <w:color w:val="2B3D4F"/>
                <w:spacing w:val="-2"/>
                <w:sz w:val="18"/>
              </w:rPr>
              <w:t>spread</w:t>
            </w:r>
          </w:p>
        </w:tc>
        <w:tc>
          <w:tcPr>
            <w:tcW w:w="3401" w:type="dxa"/>
            <w:shd w:val="clear" w:color="auto" w:fill="F7F9F9"/>
          </w:tcPr>
          <w:p w14:paraId="499001A1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3.45% (wholesale 2.0% + NIM 0.70% </w:t>
            </w:r>
            <w:r>
              <w:rPr>
                <w:color w:val="2B3D4F"/>
                <w:spacing w:val="-10"/>
                <w:sz w:val="18"/>
              </w:rPr>
              <w:t>+</w:t>
            </w:r>
          </w:p>
          <w:p w14:paraId="499001A2" w14:textId="77777777" w:rsidR="000436DE" w:rsidRDefault="00601773">
            <w:pPr>
              <w:pStyle w:val="TableParagraph"/>
              <w:spacing w:before="13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hedge 0.25% + FP </w:t>
            </w:r>
            <w:r>
              <w:rPr>
                <w:color w:val="2B3D4F"/>
                <w:spacing w:val="-2"/>
                <w:sz w:val="18"/>
              </w:rPr>
              <w:t>0.50%)</w:t>
            </w:r>
          </w:p>
        </w:tc>
      </w:tr>
      <w:tr w:rsidR="000436DE" w14:paraId="499001A7" w14:textId="77777777">
        <w:trPr>
          <w:trHeight w:val="370"/>
        </w:trPr>
        <w:tc>
          <w:tcPr>
            <w:tcW w:w="2268" w:type="dxa"/>
          </w:tcPr>
          <w:p w14:paraId="499001A4" w14:textId="4707266D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P&amp;I; </w:t>
            </w:r>
            <w:r w:rsidR="009731BA">
              <w:rPr>
                <w:color w:val="2B3D4F"/>
                <w:spacing w:val="-2"/>
                <w:sz w:val="18"/>
              </w:rPr>
              <w:t>Amortization</w:t>
            </w:r>
          </w:p>
        </w:tc>
        <w:tc>
          <w:tcPr>
            <w:tcW w:w="3118" w:type="dxa"/>
          </w:tcPr>
          <w:p w14:paraId="499001A5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Linear paydown Years 11-</w:t>
            </w:r>
            <w:r>
              <w:rPr>
                <w:color w:val="2B3D4F"/>
                <w:spacing w:val="-5"/>
                <w:sz w:val="18"/>
              </w:rPr>
              <w:t>30</w:t>
            </w:r>
          </w:p>
        </w:tc>
        <w:tc>
          <w:tcPr>
            <w:tcW w:w="3401" w:type="dxa"/>
          </w:tcPr>
          <w:p w14:paraId="499001A6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Peak $1.6M, annual $80K </w:t>
            </w:r>
            <w:r>
              <w:rPr>
                <w:color w:val="2B3D4F"/>
                <w:spacing w:val="-2"/>
                <w:sz w:val="18"/>
              </w:rPr>
              <w:t>repayment</w:t>
            </w:r>
          </w:p>
        </w:tc>
      </w:tr>
      <w:tr w:rsidR="000436DE" w14:paraId="499001AB" w14:textId="77777777">
        <w:trPr>
          <w:trHeight w:val="590"/>
        </w:trPr>
        <w:tc>
          <w:tcPr>
            <w:tcW w:w="2268" w:type="dxa"/>
            <w:shd w:val="clear" w:color="auto" w:fill="F7F9F9"/>
          </w:tcPr>
          <w:p w14:paraId="499001A8" w14:textId="77777777" w:rsidR="000436DE" w:rsidRDefault="00601773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Interest Payment </w:t>
            </w:r>
            <w:r>
              <w:rPr>
                <w:color w:val="2B3D4F"/>
                <w:spacing w:val="-2"/>
                <w:sz w:val="18"/>
              </w:rPr>
              <w:t>Holiday</w:t>
            </w:r>
          </w:p>
        </w:tc>
        <w:tc>
          <w:tcPr>
            <w:tcW w:w="3118" w:type="dxa"/>
            <w:shd w:val="clear" w:color="auto" w:fill="F7F9F9"/>
          </w:tcPr>
          <w:p w14:paraId="499001A9" w14:textId="77777777" w:rsidR="000436DE" w:rsidRDefault="00601773">
            <w:pPr>
              <w:pStyle w:val="TableParagraph"/>
              <w:spacing w:before="196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Entry 0.75×, Exit </w:t>
            </w:r>
            <w:r>
              <w:rPr>
                <w:color w:val="2B3D4F"/>
                <w:spacing w:val="-2"/>
                <w:sz w:val="18"/>
              </w:rPr>
              <w:t>1.458×</w:t>
            </w:r>
          </w:p>
        </w:tc>
        <w:tc>
          <w:tcPr>
            <w:tcW w:w="3401" w:type="dxa"/>
            <w:shd w:val="clear" w:color="auto" w:fill="F7F9F9"/>
          </w:tcPr>
          <w:p w14:paraId="499001AA" w14:textId="77777777" w:rsidR="000436DE" w:rsidRDefault="00601773">
            <w:pPr>
              <w:pStyle w:val="TableParagraph"/>
              <w:spacing w:line="254" w:lineRule="auto"/>
              <w:ind w:left="935" w:hanging="661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Interest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payments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pause;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annuity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to borrower continues</w:t>
            </w:r>
          </w:p>
        </w:tc>
      </w:tr>
      <w:tr w:rsidR="000436DE" w14:paraId="499001AF" w14:textId="77777777">
        <w:trPr>
          <w:trHeight w:val="370"/>
        </w:trPr>
        <w:tc>
          <w:tcPr>
            <w:tcW w:w="2268" w:type="dxa"/>
          </w:tcPr>
          <w:p w14:paraId="499001AC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Insurance </w:t>
            </w:r>
            <w:r>
              <w:rPr>
                <w:color w:val="2B3D4F"/>
                <w:spacing w:val="-2"/>
                <w:sz w:val="18"/>
              </w:rPr>
              <w:t>Discount</w:t>
            </w:r>
          </w:p>
        </w:tc>
        <w:tc>
          <w:tcPr>
            <w:tcW w:w="3118" w:type="dxa"/>
          </w:tcPr>
          <w:p w14:paraId="499001AD" w14:textId="77777777" w:rsidR="000436DE" w:rsidRDefault="00601773">
            <w:pPr>
              <w:pStyle w:val="TableParagraph"/>
              <w:spacing w:before="74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>Continuous</w:t>
            </w:r>
            <w:r>
              <w:rPr>
                <w:color w:val="2B3D4F"/>
                <w:spacing w:val="-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(exp(-</w:t>
            </w:r>
            <w:r>
              <w:rPr>
                <w:rFonts w:ascii="Symbol" w:hAnsi="Symbol"/>
                <w:color w:val="2B3D4F"/>
                <w:spacing w:val="-4"/>
                <w:sz w:val="18"/>
              </w:rPr>
              <w:t></w:t>
            </w:r>
            <w:r>
              <w:rPr>
                <w:color w:val="2B3D4F"/>
                <w:spacing w:val="-4"/>
                <w:sz w:val="18"/>
              </w:rPr>
              <w:t>T))</w:t>
            </w:r>
          </w:p>
        </w:tc>
        <w:tc>
          <w:tcPr>
            <w:tcW w:w="3401" w:type="dxa"/>
          </w:tcPr>
          <w:p w14:paraId="499001AE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Rate = 2.13% (cash rate </w:t>
            </w:r>
            <w:r>
              <w:rPr>
                <w:color w:val="2B3D4F"/>
                <w:spacing w:val="-2"/>
                <w:sz w:val="18"/>
              </w:rPr>
              <w:t>theta)</w:t>
            </w:r>
          </w:p>
        </w:tc>
      </w:tr>
      <w:tr w:rsidR="000436DE" w14:paraId="499001B3" w14:textId="77777777">
        <w:trPr>
          <w:trHeight w:val="590"/>
        </w:trPr>
        <w:tc>
          <w:tcPr>
            <w:tcW w:w="2268" w:type="dxa"/>
            <w:shd w:val="clear" w:color="auto" w:fill="F7F9F9"/>
          </w:tcPr>
          <w:p w14:paraId="499001B0" w14:textId="77777777" w:rsidR="000436DE" w:rsidRDefault="00601773">
            <w:pPr>
              <w:pStyle w:val="TableParagraph"/>
              <w:spacing w:before="196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LMI </w:t>
            </w:r>
            <w:r>
              <w:rPr>
                <w:color w:val="2B3D4F"/>
                <w:spacing w:val="-2"/>
                <w:sz w:val="18"/>
              </w:rPr>
              <w:t>Coverage</w:t>
            </w:r>
          </w:p>
        </w:tc>
        <w:tc>
          <w:tcPr>
            <w:tcW w:w="3118" w:type="dxa"/>
            <w:shd w:val="clear" w:color="auto" w:fill="F7F9F9"/>
          </w:tcPr>
          <w:p w14:paraId="499001B1" w14:textId="77777777" w:rsidR="000436DE" w:rsidRDefault="00601773">
            <w:pPr>
              <w:pStyle w:val="TableParagraph"/>
              <w:spacing w:before="196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80% of deficit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  <w:tc>
          <w:tcPr>
            <w:tcW w:w="3401" w:type="dxa"/>
            <w:shd w:val="clear" w:color="auto" w:fill="F7F9F9"/>
          </w:tcPr>
          <w:p w14:paraId="499001B2" w14:textId="77777777" w:rsidR="000436DE" w:rsidRDefault="00601773">
            <w:pPr>
              <w:pStyle w:val="TableParagraph"/>
              <w:spacing w:line="254" w:lineRule="auto"/>
              <w:ind w:left="1265" w:hanging="721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>Top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cover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limit: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P20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of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 xml:space="preserve">deficit </w:t>
            </w:r>
            <w:r>
              <w:rPr>
                <w:color w:val="2B3D4F"/>
                <w:spacing w:val="-2"/>
                <w:sz w:val="18"/>
              </w:rPr>
              <w:t>distribution</w:t>
            </w:r>
          </w:p>
        </w:tc>
      </w:tr>
      <w:tr w:rsidR="000436DE" w14:paraId="499001B7" w14:textId="77777777">
        <w:trPr>
          <w:trHeight w:val="370"/>
        </w:trPr>
        <w:tc>
          <w:tcPr>
            <w:tcW w:w="2268" w:type="dxa"/>
          </w:tcPr>
          <w:p w14:paraId="499001B4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Tail </w:t>
            </w:r>
            <w:r>
              <w:rPr>
                <w:color w:val="2B3D4F"/>
                <w:spacing w:val="-4"/>
                <w:sz w:val="18"/>
              </w:rPr>
              <w:t>Risk</w:t>
            </w:r>
          </w:p>
        </w:tc>
        <w:tc>
          <w:tcPr>
            <w:tcW w:w="3118" w:type="dxa"/>
          </w:tcPr>
          <w:p w14:paraId="499001B5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20% of deficit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  <w:tc>
          <w:tcPr>
            <w:tcW w:w="3401" w:type="dxa"/>
          </w:tcPr>
          <w:p w14:paraId="499001B6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Excess beyond top cover </w:t>
            </w:r>
            <w:r>
              <w:rPr>
                <w:color w:val="2B3D4F"/>
                <w:spacing w:val="-2"/>
                <w:sz w:val="18"/>
              </w:rPr>
              <w:t>limit</w:t>
            </w:r>
          </w:p>
        </w:tc>
      </w:tr>
      <w:tr w:rsidR="000436DE" w14:paraId="499001BB" w14:textId="77777777">
        <w:trPr>
          <w:trHeight w:val="370"/>
        </w:trPr>
        <w:tc>
          <w:tcPr>
            <w:tcW w:w="2268" w:type="dxa"/>
            <w:shd w:val="clear" w:color="auto" w:fill="F7F9F9"/>
          </w:tcPr>
          <w:p w14:paraId="499001B8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Profit </w:t>
            </w:r>
            <w:r>
              <w:rPr>
                <w:color w:val="2B3D4F"/>
                <w:spacing w:val="-2"/>
                <w:sz w:val="18"/>
              </w:rPr>
              <w:t>Share</w:t>
            </w:r>
          </w:p>
        </w:tc>
        <w:tc>
          <w:tcPr>
            <w:tcW w:w="3118" w:type="dxa"/>
            <w:shd w:val="clear" w:color="auto" w:fill="F7F9F9"/>
          </w:tcPr>
          <w:p w14:paraId="499001B9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10% every 5 </w:t>
            </w:r>
            <w:r>
              <w:rPr>
                <w:color w:val="2B3D4F"/>
                <w:spacing w:val="-2"/>
                <w:sz w:val="18"/>
              </w:rPr>
              <w:t>years</w:t>
            </w:r>
          </w:p>
        </w:tc>
        <w:tc>
          <w:tcPr>
            <w:tcW w:w="3401" w:type="dxa"/>
            <w:shd w:val="clear" w:color="auto" w:fill="F7F9F9"/>
          </w:tcPr>
          <w:p w14:paraId="499001BA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On positive surplus </w:t>
            </w:r>
            <w:r>
              <w:rPr>
                <w:color w:val="2B3D4F"/>
                <w:spacing w:val="-4"/>
                <w:sz w:val="18"/>
              </w:rPr>
              <w:t>only</w:t>
            </w:r>
          </w:p>
        </w:tc>
      </w:tr>
      <w:tr w:rsidR="000436DE" w14:paraId="499001BF" w14:textId="77777777">
        <w:trPr>
          <w:trHeight w:val="370"/>
        </w:trPr>
        <w:tc>
          <w:tcPr>
            <w:tcW w:w="2268" w:type="dxa"/>
          </w:tcPr>
          <w:p w14:paraId="499001BC" w14:textId="77777777" w:rsidR="000436DE" w:rsidRDefault="00601773">
            <w:pPr>
              <w:pStyle w:val="TableParagraph"/>
              <w:jc w:val="left"/>
              <w:rPr>
                <w:sz w:val="18"/>
              </w:rPr>
            </w:pPr>
            <w:r>
              <w:rPr>
                <w:color w:val="2B3D4F"/>
                <w:spacing w:val="-2"/>
                <w:sz w:val="18"/>
              </w:rPr>
              <w:t>Simulation</w:t>
            </w:r>
          </w:p>
        </w:tc>
        <w:tc>
          <w:tcPr>
            <w:tcW w:w="3118" w:type="dxa"/>
          </w:tcPr>
          <w:p w14:paraId="499001BD" w14:textId="77777777" w:rsidR="000436DE" w:rsidRDefault="00601773">
            <w:pPr>
              <w:pStyle w:val="TableParagraph"/>
              <w:ind w:left="9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50,000 </w:t>
            </w:r>
            <w:r>
              <w:rPr>
                <w:color w:val="2B3D4F"/>
                <w:spacing w:val="-2"/>
                <w:sz w:val="18"/>
              </w:rPr>
              <w:t>paths</w:t>
            </w:r>
          </w:p>
        </w:tc>
        <w:tc>
          <w:tcPr>
            <w:tcW w:w="3401" w:type="dxa"/>
          </w:tcPr>
          <w:p w14:paraId="499001BE" w14:textId="77777777" w:rsidR="000436DE" w:rsidRDefault="00601773">
            <w:pPr>
              <w:pStyle w:val="TableParagraph"/>
              <w:ind w:left="53" w:right="43"/>
              <w:rPr>
                <w:sz w:val="18"/>
              </w:rPr>
            </w:pPr>
            <w:r>
              <w:rPr>
                <w:color w:val="2B3D4F"/>
                <w:sz w:val="18"/>
              </w:rPr>
              <w:t xml:space="preserve">Seed: 42, NumPy </w:t>
            </w:r>
            <w:r>
              <w:rPr>
                <w:color w:val="2B3D4F"/>
                <w:spacing w:val="-2"/>
                <w:sz w:val="18"/>
              </w:rPr>
              <w:t>default_rng</w:t>
            </w:r>
          </w:p>
        </w:tc>
      </w:tr>
    </w:tbl>
    <w:p w14:paraId="499001C0" w14:textId="5B4E48F5" w:rsidR="0080497C" w:rsidRDefault="0080497C"/>
    <w:p w14:paraId="6551B3BF" w14:textId="328E37D9" w:rsidR="0080497C" w:rsidRDefault="0080497C" w:rsidP="006E681B"/>
    <w:sectPr w:rsidR="0080497C">
      <w:pgSz w:w="11910" w:h="16840"/>
      <w:pgMar w:top="1480" w:right="1275" w:bottom="820" w:left="1275" w:header="0" w:footer="62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 Innes" w:date="2026-04-20T15:52:00Z" w:initials="JI">
    <w:p w14:paraId="15CE34FA" w14:textId="77777777" w:rsidR="009E0832" w:rsidRDefault="009E0832" w:rsidP="009E0832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This is the proper way to reference ourmodel version</w:t>
      </w:r>
    </w:p>
  </w:comment>
  <w:comment w:id="1" w:author="John Innes" w:date="2026-04-20T15:57:00Z" w:initials="JI">
    <w:p w14:paraId="1F23B08C" w14:textId="77777777" w:rsidR="00D1654A" w:rsidRDefault="00D1654A" w:rsidP="00D1654A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Re-run and update calcs and figures in ALL tables with EPM Model Version 14c (Optimised) ….following some further minor optimization of inputs since last reports run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CE34FA" w15:done="0"/>
  <w15:commentEx w15:paraId="1F23B0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B6CD89" w16cex:dateUtc="2026-04-20T05:52:00Z"/>
  <w16cex:commentExtensible w16cex:durableId="0D586FA8" w16cex:dateUtc="2026-04-20T05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CE34FA" w16cid:durableId="75B6CD89"/>
  <w16cid:commentId w16cid:paraId="1F23B08C" w16cid:durableId="0D586F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A0F5C" w14:textId="77777777" w:rsidR="00070BCF" w:rsidRDefault="00070BCF">
      <w:r>
        <w:separator/>
      </w:r>
    </w:p>
  </w:endnote>
  <w:endnote w:type="continuationSeparator" w:id="0">
    <w:p w14:paraId="1C95077B" w14:textId="77777777" w:rsidR="00070BCF" w:rsidRDefault="00070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001CC" w14:textId="77777777" w:rsidR="000436DE" w:rsidRDefault="0060177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92384" behindDoc="1" locked="0" layoutInCell="1" allowOverlap="1" wp14:anchorId="499001CD" wp14:editId="499001CE">
              <wp:simplePos x="0" y="0"/>
              <wp:positionH relativeFrom="page">
                <wp:posOffset>887300</wp:posOffset>
              </wp:positionH>
              <wp:positionV relativeFrom="page">
                <wp:posOffset>10155324</wp:posOffset>
              </wp:positionV>
              <wp:extent cx="253555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355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001D1" w14:textId="77777777" w:rsidR="000436DE" w:rsidRDefault="0060177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5A5A5"/>
                              <w:sz w:val="16"/>
                            </w:rPr>
                            <w:t xml:space="preserve">FutureProof | Independent Actuarial Review | April </w:t>
                          </w:r>
                          <w:r>
                            <w:rPr>
                              <w:color w:val="95A5A5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001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.85pt;margin-top:799.65pt;width:199.65pt;height:10.95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" filled="f" stroked="f">
              <v:textbox inset="0,0,0,0">
                <w:txbxContent>
                  <w:p w14:paraId="499001D1" w14:textId="77777777" w:rsidR="000436DE" w:rsidRDefault="0060177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95A5A5"/>
                        <w:sz w:val="16"/>
                      </w:rPr>
                      <w:t xml:space="preserve">FutureProof | Independent Actuarial Review | April </w:t>
                    </w:r>
                    <w:r>
                      <w:rPr>
                        <w:color w:val="95A5A5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92896" behindDoc="1" locked="0" layoutInCell="1" allowOverlap="1" wp14:anchorId="499001CF" wp14:editId="499001D0">
              <wp:simplePos x="0" y="0"/>
              <wp:positionH relativeFrom="page">
                <wp:posOffset>6268839</wp:posOffset>
              </wp:positionH>
              <wp:positionV relativeFrom="page">
                <wp:posOffset>10155324</wp:posOffset>
              </wp:positionV>
              <wp:extent cx="44259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001D2" w14:textId="77777777" w:rsidR="000436DE" w:rsidRDefault="0060177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5A5A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5A5A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9001CF" id="Textbox 2" o:spid="_x0000_s1027" type="#_x0000_t202" style="position:absolute;margin-left:493.6pt;margin-top:799.65pt;width:34.85pt;height:10.95pt;z-index:-163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" filled="f" stroked="f">
              <v:textbox inset="0,0,0,0">
                <w:txbxContent>
                  <w:p w14:paraId="499001D2" w14:textId="77777777" w:rsidR="000436DE" w:rsidRDefault="0060177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95A5A5"/>
                        <w:sz w:val="16"/>
                      </w:rPr>
                      <w:t xml:space="preserve">Page </w:t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95A5A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8AAB2" w14:textId="77777777" w:rsidR="00070BCF" w:rsidRDefault="00070BCF">
      <w:r>
        <w:separator/>
      </w:r>
    </w:p>
  </w:footnote>
  <w:footnote w:type="continuationSeparator" w:id="0">
    <w:p w14:paraId="16E3A38C" w14:textId="77777777" w:rsidR="00070BCF" w:rsidRDefault="00070BCF">
      <w:r>
        <w:continuationSeparator/>
      </w:r>
    </w:p>
  </w:footnote>
  <w:footnote w:id="1">
    <w:p w14:paraId="1C347346" w14:textId="2393E978" w:rsidR="003E60D9" w:rsidRPr="003E60D9" w:rsidRDefault="003E60D9">
      <w:pPr>
        <w:pStyle w:val="FootnoteText"/>
        <w:rPr>
          <w:lang w:val="en-AU"/>
        </w:rPr>
      </w:pPr>
      <w:r w:rsidRPr="000D7D02">
        <w:rPr>
          <w:rStyle w:val="FootnoteReference"/>
          <w:sz w:val="16"/>
          <w:szCs w:val="16"/>
        </w:rPr>
        <w:footnoteRef/>
      </w:r>
      <w:r w:rsidRPr="000D7D02">
        <w:rPr>
          <w:sz w:val="16"/>
          <w:szCs w:val="16"/>
        </w:rPr>
        <w:t xml:space="preserve"> </w:t>
      </w:r>
      <w:r w:rsidRPr="000D7D02">
        <w:rPr>
          <w:sz w:val="16"/>
          <w:szCs w:val="16"/>
          <w:lang w:val="en-AU"/>
        </w:rPr>
        <w:t xml:space="preserve">Average EPM is </w:t>
      </w:r>
      <w:r w:rsidR="00752F91">
        <w:rPr>
          <w:sz w:val="16"/>
          <w:szCs w:val="16"/>
          <w:lang w:val="en-AU"/>
        </w:rPr>
        <w:t>30 year</w:t>
      </w:r>
      <w:r w:rsidR="00377694">
        <w:rPr>
          <w:sz w:val="16"/>
          <w:szCs w:val="16"/>
          <w:lang w:val="en-AU"/>
        </w:rPr>
        <w:t xml:space="preserve">s term </w:t>
      </w:r>
      <w:r w:rsidR="00752F91">
        <w:rPr>
          <w:sz w:val="16"/>
          <w:szCs w:val="16"/>
          <w:lang w:val="en-AU"/>
        </w:rPr>
        <w:t xml:space="preserve"> </w:t>
      </w:r>
      <w:r w:rsidRPr="000D7D02">
        <w:rPr>
          <w:sz w:val="16"/>
          <w:szCs w:val="16"/>
          <w:lang w:val="en-AU"/>
        </w:rPr>
        <w:t>80% LTV</w:t>
      </w:r>
      <w:r w:rsidR="00377694">
        <w:rPr>
          <w:sz w:val="16"/>
          <w:szCs w:val="16"/>
          <w:lang w:val="en-AU"/>
        </w:rPr>
        <w:t>;</w:t>
      </w:r>
      <w:r w:rsidRPr="000D7D02">
        <w:rPr>
          <w:sz w:val="16"/>
          <w:szCs w:val="16"/>
          <w:lang w:val="en-AU"/>
        </w:rPr>
        <w:t xml:space="preserve"> $1.</w:t>
      </w:r>
      <w:r w:rsidR="00270202">
        <w:rPr>
          <w:sz w:val="16"/>
          <w:szCs w:val="16"/>
          <w:lang w:val="en-AU"/>
        </w:rPr>
        <w:t>5</w:t>
      </w:r>
      <w:r w:rsidRPr="000D7D02">
        <w:rPr>
          <w:sz w:val="16"/>
          <w:szCs w:val="16"/>
          <w:lang w:val="en-AU"/>
        </w:rPr>
        <w:t>M propert</w:t>
      </w:r>
      <w:r w:rsidR="00377694">
        <w:rPr>
          <w:sz w:val="16"/>
          <w:szCs w:val="16"/>
          <w:lang w:val="en-AU"/>
        </w:rPr>
        <w:t>y;</w:t>
      </w:r>
      <w:r w:rsidR="000D7D02">
        <w:rPr>
          <w:sz w:val="16"/>
          <w:szCs w:val="16"/>
          <w:lang w:val="en-AU"/>
        </w:rPr>
        <w:t xml:space="preserve"> </w:t>
      </w:r>
      <w:r w:rsidR="00752F91">
        <w:rPr>
          <w:sz w:val="16"/>
          <w:szCs w:val="16"/>
          <w:lang w:val="en-AU"/>
        </w:rPr>
        <w:t>10 year</w:t>
      </w:r>
      <w:r w:rsidR="0057384B">
        <w:rPr>
          <w:sz w:val="16"/>
          <w:szCs w:val="16"/>
          <w:lang w:val="en-AU"/>
        </w:rPr>
        <w:t>s</w:t>
      </w:r>
      <w:r w:rsidR="00752F91">
        <w:rPr>
          <w:sz w:val="16"/>
          <w:szCs w:val="16"/>
          <w:lang w:val="en-AU"/>
        </w:rPr>
        <w:t xml:space="preserve"> </w:t>
      </w:r>
      <w:r w:rsidR="0057384B">
        <w:rPr>
          <w:sz w:val="16"/>
          <w:szCs w:val="16"/>
          <w:lang w:val="en-AU"/>
        </w:rPr>
        <w:t xml:space="preserve">tax-free </w:t>
      </w:r>
      <w:r w:rsidR="00752F91">
        <w:rPr>
          <w:sz w:val="16"/>
          <w:szCs w:val="16"/>
          <w:lang w:val="en-AU"/>
        </w:rPr>
        <w:t>annuity of</w:t>
      </w:r>
      <w:r w:rsidR="0057384B">
        <w:rPr>
          <w:sz w:val="16"/>
          <w:szCs w:val="16"/>
          <w:lang w:val="en-AU"/>
        </w:rPr>
        <w:t xml:space="preserve"> 1.75</w:t>
      </w:r>
      <w:r w:rsidR="00752F91">
        <w:rPr>
          <w:sz w:val="16"/>
          <w:szCs w:val="16"/>
          <w:lang w:val="en-AU"/>
        </w:rPr>
        <w:t>%  home value per year</w:t>
      </w:r>
      <w:r w:rsidR="00377694">
        <w:rPr>
          <w:sz w:val="16"/>
          <w:szCs w:val="16"/>
          <w:lang w:val="en-AU"/>
        </w:rPr>
        <w:t xml:space="preserve"> = </w:t>
      </w:r>
      <w:r w:rsidR="00987F16">
        <w:rPr>
          <w:sz w:val="16"/>
          <w:szCs w:val="16"/>
          <w:lang w:val="en-AU"/>
        </w:rPr>
        <w:t>$</w:t>
      </w:r>
      <w:r w:rsidR="00F92904">
        <w:rPr>
          <w:sz w:val="16"/>
          <w:szCs w:val="16"/>
          <w:lang w:val="en-AU"/>
        </w:rPr>
        <w:t>2</w:t>
      </w:r>
      <w:r w:rsidR="0057384B">
        <w:rPr>
          <w:sz w:val="16"/>
          <w:szCs w:val="16"/>
          <w:lang w:val="en-AU"/>
        </w:rPr>
        <w:t>6</w:t>
      </w:r>
      <w:r w:rsidR="00F92904">
        <w:rPr>
          <w:sz w:val="16"/>
          <w:szCs w:val="16"/>
          <w:lang w:val="en-AU"/>
        </w:rPr>
        <w:t>.</w:t>
      </w:r>
      <w:r w:rsidR="00270202">
        <w:rPr>
          <w:sz w:val="16"/>
          <w:szCs w:val="16"/>
          <w:lang w:val="en-AU"/>
        </w:rPr>
        <w:t>250</w:t>
      </w:r>
      <w:r w:rsidR="00987F16">
        <w:rPr>
          <w:sz w:val="16"/>
          <w:szCs w:val="16"/>
          <w:lang w:val="en-AU"/>
        </w:rPr>
        <w:t xml:space="preserve"> p.a.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2D8"/>
    <w:multiLevelType w:val="multilevel"/>
    <w:tmpl w:val="C68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7F5A"/>
    <w:multiLevelType w:val="multilevel"/>
    <w:tmpl w:val="D688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5D4F"/>
    <w:multiLevelType w:val="multilevel"/>
    <w:tmpl w:val="AE3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61BC"/>
    <w:multiLevelType w:val="multilevel"/>
    <w:tmpl w:val="453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702EF"/>
    <w:multiLevelType w:val="multilevel"/>
    <w:tmpl w:val="59D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071EC"/>
    <w:multiLevelType w:val="multilevel"/>
    <w:tmpl w:val="8EA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538AA"/>
    <w:multiLevelType w:val="multilevel"/>
    <w:tmpl w:val="105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6F20"/>
    <w:multiLevelType w:val="multilevel"/>
    <w:tmpl w:val="B82A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B6C7C"/>
    <w:multiLevelType w:val="multilevel"/>
    <w:tmpl w:val="3C4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C0199"/>
    <w:multiLevelType w:val="multilevel"/>
    <w:tmpl w:val="EA7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4727D"/>
    <w:multiLevelType w:val="hybridMultilevel"/>
    <w:tmpl w:val="072ED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47C07"/>
    <w:multiLevelType w:val="multilevel"/>
    <w:tmpl w:val="EE4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F4AC3"/>
    <w:multiLevelType w:val="multilevel"/>
    <w:tmpl w:val="DEB6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D2C33"/>
    <w:multiLevelType w:val="multilevel"/>
    <w:tmpl w:val="B84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4628D"/>
    <w:multiLevelType w:val="multilevel"/>
    <w:tmpl w:val="323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01D84"/>
    <w:multiLevelType w:val="multilevel"/>
    <w:tmpl w:val="F8D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C43D2"/>
    <w:multiLevelType w:val="multilevel"/>
    <w:tmpl w:val="2B8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F104B"/>
    <w:multiLevelType w:val="multilevel"/>
    <w:tmpl w:val="A17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84D02"/>
    <w:multiLevelType w:val="multilevel"/>
    <w:tmpl w:val="109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13B5F"/>
    <w:multiLevelType w:val="multilevel"/>
    <w:tmpl w:val="FBF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A27B7"/>
    <w:multiLevelType w:val="multilevel"/>
    <w:tmpl w:val="BEF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66E62"/>
    <w:multiLevelType w:val="multilevel"/>
    <w:tmpl w:val="E0D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355C2"/>
    <w:multiLevelType w:val="multilevel"/>
    <w:tmpl w:val="934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A74F2"/>
    <w:multiLevelType w:val="multilevel"/>
    <w:tmpl w:val="840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B3071"/>
    <w:multiLevelType w:val="multilevel"/>
    <w:tmpl w:val="4B1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B65BC"/>
    <w:multiLevelType w:val="multilevel"/>
    <w:tmpl w:val="6A0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F74B7"/>
    <w:multiLevelType w:val="multilevel"/>
    <w:tmpl w:val="E18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41232"/>
    <w:multiLevelType w:val="multilevel"/>
    <w:tmpl w:val="757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D3AD3"/>
    <w:multiLevelType w:val="multilevel"/>
    <w:tmpl w:val="CE8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0312B"/>
    <w:multiLevelType w:val="hybridMultilevel"/>
    <w:tmpl w:val="16367F24"/>
    <w:lvl w:ilvl="0" w:tplc="268AC67C">
      <w:start w:val="1"/>
      <w:numFmt w:val="decimal"/>
      <w:lvlText w:val="%1."/>
      <w:lvlJc w:val="left"/>
      <w:pPr>
        <w:ind w:left="262" w:hanging="22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1" w:tplc="2760F242">
      <w:numFmt w:val="bullet"/>
      <w:lvlText w:val="•"/>
      <w:lvlJc w:val="left"/>
      <w:pPr>
        <w:ind w:left="562" w:hanging="200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2" w:tplc="6DDA9BD4">
      <w:numFmt w:val="bullet"/>
      <w:lvlText w:val="•"/>
      <w:lvlJc w:val="left"/>
      <w:pPr>
        <w:ind w:left="1537" w:hanging="200"/>
      </w:pPr>
      <w:rPr>
        <w:rFonts w:hint="default"/>
        <w:lang w:val="en-US" w:eastAsia="en-US" w:bidi="ar-SA"/>
      </w:rPr>
    </w:lvl>
    <w:lvl w:ilvl="3" w:tplc="A8BE04C8">
      <w:numFmt w:val="bullet"/>
      <w:lvlText w:val="•"/>
      <w:lvlJc w:val="left"/>
      <w:pPr>
        <w:ind w:left="2514" w:hanging="200"/>
      </w:pPr>
      <w:rPr>
        <w:rFonts w:hint="default"/>
        <w:lang w:val="en-US" w:eastAsia="en-US" w:bidi="ar-SA"/>
      </w:rPr>
    </w:lvl>
    <w:lvl w:ilvl="4" w:tplc="DB305298">
      <w:numFmt w:val="bullet"/>
      <w:lvlText w:val="•"/>
      <w:lvlJc w:val="left"/>
      <w:pPr>
        <w:ind w:left="3491" w:hanging="200"/>
      </w:pPr>
      <w:rPr>
        <w:rFonts w:hint="default"/>
        <w:lang w:val="en-US" w:eastAsia="en-US" w:bidi="ar-SA"/>
      </w:rPr>
    </w:lvl>
    <w:lvl w:ilvl="5" w:tplc="F1BA09EC">
      <w:numFmt w:val="bullet"/>
      <w:lvlText w:val="•"/>
      <w:lvlJc w:val="left"/>
      <w:pPr>
        <w:ind w:left="4469" w:hanging="200"/>
      </w:pPr>
      <w:rPr>
        <w:rFonts w:hint="default"/>
        <w:lang w:val="en-US" w:eastAsia="en-US" w:bidi="ar-SA"/>
      </w:rPr>
    </w:lvl>
    <w:lvl w:ilvl="6" w:tplc="1918F9EC">
      <w:numFmt w:val="bullet"/>
      <w:lvlText w:val="•"/>
      <w:lvlJc w:val="left"/>
      <w:pPr>
        <w:ind w:left="5446" w:hanging="200"/>
      </w:pPr>
      <w:rPr>
        <w:rFonts w:hint="default"/>
        <w:lang w:val="en-US" w:eastAsia="en-US" w:bidi="ar-SA"/>
      </w:rPr>
    </w:lvl>
    <w:lvl w:ilvl="7" w:tplc="933CFD60">
      <w:numFmt w:val="bullet"/>
      <w:lvlText w:val="•"/>
      <w:lvlJc w:val="left"/>
      <w:pPr>
        <w:ind w:left="6423" w:hanging="200"/>
      </w:pPr>
      <w:rPr>
        <w:rFonts w:hint="default"/>
        <w:lang w:val="en-US" w:eastAsia="en-US" w:bidi="ar-SA"/>
      </w:rPr>
    </w:lvl>
    <w:lvl w:ilvl="8" w:tplc="D97C245A">
      <w:numFmt w:val="bullet"/>
      <w:lvlText w:val="•"/>
      <w:lvlJc w:val="left"/>
      <w:pPr>
        <w:ind w:left="7400" w:hanging="200"/>
      </w:pPr>
      <w:rPr>
        <w:rFonts w:hint="default"/>
        <w:lang w:val="en-US" w:eastAsia="en-US" w:bidi="ar-SA"/>
      </w:rPr>
    </w:lvl>
  </w:abstractNum>
  <w:abstractNum w:abstractNumId="30" w15:restartNumberingAfterBreak="0">
    <w:nsid w:val="351646F6"/>
    <w:multiLevelType w:val="hybridMultilevel"/>
    <w:tmpl w:val="24FEA738"/>
    <w:lvl w:ilvl="0" w:tplc="B8BEFA84">
      <w:numFmt w:val="bullet"/>
      <w:lvlText w:val="•"/>
      <w:lvlJc w:val="left"/>
      <w:pPr>
        <w:ind w:left="562" w:hanging="200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1" w:tplc="321CBEDC">
      <w:numFmt w:val="bullet"/>
      <w:lvlText w:val="•"/>
      <w:lvlJc w:val="left"/>
      <w:pPr>
        <w:ind w:left="1439" w:hanging="200"/>
      </w:pPr>
      <w:rPr>
        <w:rFonts w:hint="default"/>
        <w:lang w:val="en-US" w:eastAsia="en-US" w:bidi="ar-SA"/>
      </w:rPr>
    </w:lvl>
    <w:lvl w:ilvl="2" w:tplc="78860E40">
      <w:numFmt w:val="bullet"/>
      <w:lvlText w:val="•"/>
      <w:lvlJc w:val="left"/>
      <w:pPr>
        <w:ind w:left="2319" w:hanging="200"/>
      </w:pPr>
      <w:rPr>
        <w:rFonts w:hint="default"/>
        <w:lang w:val="en-US" w:eastAsia="en-US" w:bidi="ar-SA"/>
      </w:rPr>
    </w:lvl>
    <w:lvl w:ilvl="3" w:tplc="0868F46A">
      <w:numFmt w:val="bullet"/>
      <w:lvlText w:val="•"/>
      <w:lvlJc w:val="left"/>
      <w:pPr>
        <w:ind w:left="3198" w:hanging="200"/>
      </w:pPr>
      <w:rPr>
        <w:rFonts w:hint="default"/>
        <w:lang w:val="en-US" w:eastAsia="en-US" w:bidi="ar-SA"/>
      </w:rPr>
    </w:lvl>
    <w:lvl w:ilvl="4" w:tplc="4DA06CAE">
      <w:numFmt w:val="bullet"/>
      <w:lvlText w:val="•"/>
      <w:lvlJc w:val="left"/>
      <w:pPr>
        <w:ind w:left="4078" w:hanging="200"/>
      </w:pPr>
      <w:rPr>
        <w:rFonts w:hint="default"/>
        <w:lang w:val="en-US" w:eastAsia="en-US" w:bidi="ar-SA"/>
      </w:rPr>
    </w:lvl>
    <w:lvl w:ilvl="5" w:tplc="D5803DB0">
      <w:numFmt w:val="bullet"/>
      <w:lvlText w:val="•"/>
      <w:lvlJc w:val="left"/>
      <w:pPr>
        <w:ind w:left="4957" w:hanging="200"/>
      </w:pPr>
      <w:rPr>
        <w:rFonts w:hint="default"/>
        <w:lang w:val="en-US" w:eastAsia="en-US" w:bidi="ar-SA"/>
      </w:rPr>
    </w:lvl>
    <w:lvl w:ilvl="6" w:tplc="05A85A82">
      <w:numFmt w:val="bullet"/>
      <w:lvlText w:val="•"/>
      <w:lvlJc w:val="left"/>
      <w:pPr>
        <w:ind w:left="5837" w:hanging="200"/>
      </w:pPr>
      <w:rPr>
        <w:rFonts w:hint="default"/>
        <w:lang w:val="en-US" w:eastAsia="en-US" w:bidi="ar-SA"/>
      </w:rPr>
    </w:lvl>
    <w:lvl w:ilvl="7" w:tplc="A4C006EC">
      <w:numFmt w:val="bullet"/>
      <w:lvlText w:val="•"/>
      <w:lvlJc w:val="left"/>
      <w:pPr>
        <w:ind w:left="6716" w:hanging="200"/>
      </w:pPr>
      <w:rPr>
        <w:rFonts w:hint="default"/>
        <w:lang w:val="en-US" w:eastAsia="en-US" w:bidi="ar-SA"/>
      </w:rPr>
    </w:lvl>
    <w:lvl w:ilvl="8" w:tplc="F4CCDB32">
      <w:numFmt w:val="bullet"/>
      <w:lvlText w:val="•"/>
      <w:lvlJc w:val="left"/>
      <w:pPr>
        <w:ind w:left="7596" w:hanging="200"/>
      </w:pPr>
      <w:rPr>
        <w:rFonts w:hint="default"/>
        <w:lang w:val="en-US" w:eastAsia="en-US" w:bidi="ar-SA"/>
      </w:rPr>
    </w:lvl>
  </w:abstractNum>
  <w:abstractNum w:abstractNumId="31" w15:restartNumberingAfterBreak="0">
    <w:nsid w:val="36C43087"/>
    <w:multiLevelType w:val="multilevel"/>
    <w:tmpl w:val="F4A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D20A5"/>
    <w:multiLevelType w:val="multilevel"/>
    <w:tmpl w:val="2D7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A62A9"/>
    <w:multiLevelType w:val="multilevel"/>
    <w:tmpl w:val="776E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5455F"/>
    <w:multiLevelType w:val="multilevel"/>
    <w:tmpl w:val="0D4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85F94"/>
    <w:multiLevelType w:val="multilevel"/>
    <w:tmpl w:val="E54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6681D"/>
    <w:multiLevelType w:val="multilevel"/>
    <w:tmpl w:val="CDC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45FCE"/>
    <w:multiLevelType w:val="hybridMultilevel"/>
    <w:tmpl w:val="724AD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9E5B4F"/>
    <w:multiLevelType w:val="multilevel"/>
    <w:tmpl w:val="5A1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A61AF"/>
    <w:multiLevelType w:val="multilevel"/>
    <w:tmpl w:val="8B48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BA1B96"/>
    <w:multiLevelType w:val="multilevel"/>
    <w:tmpl w:val="17F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A2ECF"/>
    <w:multiLevelType w:val="multilevel"/>
    <w:tmpl w:val="FFDA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D0B89"/>
    <w:multiLevelType w:val="multilevel"/>
    <w:tmpl w:val="679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480D99"/>
    <w:multiLevelType w:val="multilevel"/>
    <w:tmpl w:val="ACE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B02BBE"/>
    <w:multiLevelType w:val="hybridMultilevel"/>
    <w:tmpl w:val="B9241284"/>
    <w:lvl w:ilvl="0" w:tplc="08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5" w15:restartNumberingAfterBreak="0">
    <w:nsid w:val="4E060AAE"/>
    <w:multiLevelType w:val="multilevel"/>
    <w:tmpl w:val="CEEC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DD408F"/>
    <w:multiLevelType w:val="multilevel"/>
    <w:tmpl w:val="BD9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C631B"/>
    <w:multiLevelType w:val="multilevel"/>
    <w:tmpl w:val="B7E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76034A"/>
    <w:multiLevelType w:val="multilevel"/>
    <w:tmpl w:val="AB2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D20B6"/>
    <w:multiLevelType w:val="multilevel"/>
    <w:tmpl w:val="376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55296"/>
    <w:multiLevelType w:val="multilevel"/>
    <w:tmpl w:val="335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2604E3"/>
    <w:multiLevelType w:val="multilevel"/>
    <w:tmpl w:val="4BB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A543AA"/>
    <w:multiLevelType w:val="multilevel"/>
    <w:tmpl w:val="49A6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3A2F44"/>
    <w:multiLevelType w:val="multilevel"/>
    <w:tmpl w:val="0E6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235543"/>
    <w:multiLevelType w:val="multilevel"/>
    <w:tmpl w:val="6962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A34FE2"/>
    <w:multiLevelType w:val="multilevel"/>
    <w:tmpl w:val="8DC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DB2AD2"/>
    <w:multiLevelType w:val="multilevel"/>
    <w:tmpl w:val="FDC0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284C89"/>
    <w:multiLevelType w:val="multilevel"/>
    <w:tmpl w:val="D92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AA1FFA"/>
    <w:multiLevelType w:val="multilevel"/>
    <w:tmpl w:val="096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AE4351"/>
    <w:multiLevelType w:val="multilevel"/>
    <w:tmpl w:val="6BF2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CD1047"/>
    <w:multiLevelType w:val="multilevel"/>
    <w:tmpl w:val="606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9E64BC"/>
    <w:multiLevelType w:val="multilevel"/>
    <w:tmpl w:val="BF3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6701E8"/>
    <w:multiLevelType w:val="multilevel"/>
    <w:tmpl w:val="B6B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7751AE"/>
    <w:multiLevelType w:val="multilevel"/>
    <w:tmpl w:val="845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791F87"/>
    <w:multiLevelType w:val="multilevel"/>
    <w:tmpl w:val="7A2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4F008B"/>
    <w:multiLevelType w:val="multilevel"/>
    <w:tmpl w:val="EAA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EE3546"/>
    <w:multiLevelType w:val="multilevel"/>
    <w:tmpl w:val="DD9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7916F9"/>
    <w:multiLevelType w:val="multilevel"/>
    <w:tmpl w:val="FDC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B5681"/>
    <w:multiLevelType w:val="multilevel"/>
    <w:tmpl w:val="D91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6475C2"/>
    <w:multiLevelType w:val="multilevel"/>
    <w:tmpl w:val="BA8C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A23E8B"/>
    <w:multiLevelType w:val="multilevel"/>
    <w:tmpl w:val="5CF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2716AC"/>
    <w:multiLevelType w:val="multilevel"/>
    <w:tmpl w:val="D71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A75D07"/>
    <w:multiLevelType w:val="multilevel"/>
    <w:tmpl w:val="501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E05761"/>
    <w:multiLevelType w:val="multilevel"/>
    <w:tmpl w:val="E28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1C5319"/>
    <w:multiLevelType w:val="multilevel"/>
    <w:tmpl w:val="705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FD041D"/>
    <w:multiLevelType w:val="multilevel"/>
    <w:tmpl w:val="1A0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134622"/>
    <w:multiLevelType w:val="multilevel"/>
    <w:tmpl w:val="A5E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372A22"/>
    <w:multiLevelType w:val="multilevel"/>
    <w:tmpl w:val="3600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EA6103"/>
    <w:multiLevelType w:val="multilevel"/>
    <w:tmpl w:val="034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5E5861"/>
    <w:multiLevelType w:val="multilevel"/>
    <w:tmpl w:val="917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F62818"/>
    <w:multiLevelType w:val="hybridMultilevel"/>
    <w:tmpl w:val="D6E4A7DA"/>
    <w:lvl w:ilvl="0" w:tplc="D9C4B346">
      <w:numFmt w:val="bullet"/>
      <w:lvlText w:val="•"/>
      <w:lvlJc w:val="left"/>
      <w:pPr>
        <w:ind w:left="562" w:hanging="200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n-US" w:eastAsia="en-US" w:bidi="ar-SA"/>
      </w:rPr>
    </w:lvl>
    <w:lvl w:ilvl="1" w:tplc="0762A76C">
      <w:numFmt w:val="bullet"/>
      <w:lvlText w:val="•"/>
      <w:lvlJc w:val="left"/>
      <w:pPr>
        <w:ind w:left="1439" w:hanging="200"/>
      </w:pPr>
      <w:rPr>
        <w:rFonts w:hint="default"/>
        <w:lang w:val="en-US" w:eastAsia="en-US" w:bidi="ar-SA"/>
      </w:rPr>
    </w:lvl>
    <w:lvl w:ilvl="2" w:tplc="7174D98C">
      <w:numFmt w:val="bullet"/>
      <w:lvlText w:val="•"/>
      <w:lvlJc w:val="left"/>
      <w:pPr>
        <w:ind w:left="2319" w:hanging="200"/>
      </w:pPr>
      <w:rPr>
        <w:rFonts w:hint="default"/>
        <w:lang w:val="en-US" w:eastAsia="en-US" w:bidi="ar-SA"/>
      </w:rPr>
    </w:lvl>
    <w:lvl w:ilvl="3" w:tplc="92FE8BF4">
      <w:numFmt w:val="bullet"/>
      <w:lvlText w:val="•"/>
      <w:lvlJc w:val="left"/>
      <w:pPr>
        <w:ind w:left="3198" w:hanging="200"/>
      </w:pPr>
      <w:rPr>
        <w:rFonts w:hint="default"/>
        <w:lang w:val="en-US" w:eastAsia="en-US" w:bidi="ar-SA"/>
      </w:rPr>
    </w:lvl>
    <w:lvl w:ilvl="4" w:tplc="7430BBB0">
      <w:numFmt w:val="bullet"/>
      <w:lvlText w:val="•"/>
      <w:lvlJc w:val="left"/>
      <w:pPr>
        <w:ind w:left="4078" w:hanging="200"/>
      </w:pPr>
      <w:rPr>
        <w:rFonts w:hint="default"/>
        <w:lang w:val="en-US" w:eastAsia="en-US" w:bidi="ar-SA"/>
      </w:rPr>
    </w:lvl>
    <w:lvl w:ilvl="5" w:tplc="00BEEA42">
      <w:numFmt w:val="bullet"/>
      <w:lvlText w:val="•"/>
      <w:lvlJc w:val="left"/>
      <w:pPr>
        <w:ind w:left="4957" w:hanging="200"/>
      </w:pPr>
      <w:rPr>
        <w:rFonts w:hint="default"/>
        <w:lang w:val="en-US" w:eastAsia="en-US" w:bidi="ar-SA"/>
      </w:rPr>
    </w:lvl>
    <w:lvl w:ilvl="6" w:tplc="A22637EA">
      <w:numFmt w:val="bullet"/>
      <w:lvlText w:val="•"/>
      <w:lvlJc w:val="left"/>
      <w:pPr>
        <w:ind w:left="5837" w:hanging="200"/>
      </w:pPr>
      <w:rPr>
        <w:rFonts w:hint="default"/>
        <w:lang w:val="en-US" w:eastAsia="en-US" w:bidi="ar-SA"/>
      </w:rPr>
    </w:lvl>
    <w:lvl w:ilvl="7" w:tplc="82125D4E">
      <w:numFmt w:val="bullet"/>
      <w:lvlText w:val="•"/>
      <w:lvlJc w:val="left"/>
      <w:pPr>
        <w:ind w:left="6716" w:hanging="200"/>
      </w:pPr>
      <w:rPr>
        <w:rFonts w:hint="default"/>
        <w:lang w:val="en-US" w:eastAsia="en-US" w:bidi="ar-SA"/>
      </w:rPr>
    </w:lvl>
    <w:lvl w:ilvl="8" w:tplc="F7E4676C">
      <w:numFmt w:val="bullet"/>
      <w:lvlText w:val="•"/>
      <w:lvlJc w:val="left"/>
      <w:pPr>
        <w:ind w:left="7596" w:hanging="200"/>
      </w:pPr>
      <w:rPr>
        <w:rFonts w:hint="default"/>
        <w:lang w:val="en-US" w:eastAsia="en-US" w:bidi="ar-SA"/>
      </w:rPr>
    </w:lvl>
  </w:abstractNum>
  <w:abstractNum w:abstractNumId="81" w15:restartNumberingAfterBreak="0">
    <w:nsid w:val="7E8A4092"/>
    <w:multiLevelType w:val="multilevel"/>
    <w:tmpl w:val="E92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597961">
    <w:abstractNumId w:val="29"/>
  </w:num>
  <w:num w:numId="2" w16cid:durableId="1391419131">
    <w:abstractNumId w:val="30"/>
  </w:num>
  <w:num w:numId="3" w16cid:durableId="1388383110">
    <w:abstractNumId w:val="80"/>
  </w:num>
  <w:num w:numId="4" w16cid:durableId="417555282">
    <w:abstractNumId w:val="38"/>
  </w:num>
  <w:num w:numId="5" w16cid:durableId="647828396">
    <w:abstractNumId w:val="76"/>
  </w:num>
  <w:num w:numId="6" w16cid:durableId="681317515">
    <w:abstractNumId w:val="62"/>
  </w:num>
  <w:num w:numId="7" w16cid:durableId="937182101">
    <w:abstractNumId w:val="40"/>
  </w:num>
  <w:num w:numId="8" w16cid:durableId="719984308">
    <w:abstractNumId w:val="75"/>
  </w:num>
  <w:num w:numId="9" w16cid:durableId="1667399025">
    <w:abstractNumId w:val="34"/>
  </w:num>
  <w:num w:numId="10" w16cid:durableId="659046883">
    <w:abstractNumId w:val="28"/>
  </w:num>
  <w:num w:numId="11" w16cid:durableId="1630552083">
    <w:abstractNumId w:val="55"/>
  </w:num>
  <w:num w:numId="12" w16cid:durableId="1092703116">
    <w:abstractNumId w:val="56"/>
  </w:num>
  <w:num w:numId="13" w16cid:durableId="1183980552">
    <w:abstractNumId w:val="50"/>
  </w:num>
  <w:num w:numId="14" w16cid:durableId="761335799">
    <w:abstractNumId w:val="24"/>
  </w:num>
  <w:num w:numId="15" w16cid:durableId="1431775389">
    <w:abstractNumId w:val="32"/>
  </w:num>
  <w:num w:numId="16" w16cid:durableId="178814059">
    <w:abstractNumId w:val="46"/>
  </w:num>
  <w:num w:numId="17" w16cid:durableId="1282802771">
    <w:abstractNumId w:val="61"/>
  </w:num>
  <w:num w:numId="18" w16cid:durableId="1943341359">
    <w:abstractNumId w:val="12"/>
  </w:num>
  <w:num w:numId="19" w16cid:durableId="1966736088">
    <w:abstractNumId w:val="4"/>
  </w:num>
  <w:num w:numId="20" w16cid:durableId="1458334962">
    <w:abstractNumId w:val="39"/>
  </w:num>
  <w:num w:numId="21" w16cid:durableId="747266917">
    <w:abstractNumId w:val="78"/>
  </w:num>
  <w:num w:numId="22" w16cid:durableId="1294287311">
    <w:abstractNumId w:val="64"/>
  </w:num>
  <w:num w:numId="23" w16cid:durableId="1850024687">
    <w:abstractNumId w:val="54"/>
  </w:num>
  <w:num w:numId="24" w16cid:durableId="1260796460">
    <w:abstractNumId w:val="52"/>
  </w:num>
  <w:num w:numId="25" w16cid:durableId="1995985535">
    <w:abstractNumId w:val="58"/>
  </w:num>
  <w:num w:numId="26" w16cid:durableId="112284910">
    <w:abstractNumId w:val="72"/>
  </w:num>
  <w:num w:numId="27" w16cid:durableId="1357775758">
    <w:abstractNumId w:val="65"/>
  </w:num>
  <w:num w:numId="28" w16cid:durableId="566964563">
    <w:abstractNumId w:val="13"/>
  </w:num>
  <w:num w:numId="29" w16cid:durableId="1085304391">
    <w:abstractNumId w:val="81"/>
  </w:num>
  <w:num w:numId="30" w16cid:durableId="1251966241">
    <w:abstractNumId w:val="23"/>
  </w:num>
  <w:num w:numId="31" w16cid:durableId="1501431541">
    <w:abstractNumId w:val="16"/>
  </w:num>
  <w:num w:numId="32" w16cid:durableId="1514762172">
    <w:abstractNumId w:val="11"/>
  </w:num>
  <w:num w:numId="33" w16cid:durableId="1086726672">
    <w:abstractNumId w:val="48"/>
  </w:num>
  <w:num w:numId="34" w16cid:durableId="1827548955">
    <w:abstractNumId w:val="66"/>
  </w:num>
  <w:num w:numId="35" w16cid:durableId="312301231">
    <w:abstractNumId w:val="57"/>
  </w:num>
  <w:num w:numId="36" w16cid:durableId="572931174">
    <w:abstractNumId w:val="31"/>
  </w:num>
  <w:num w:numId="37" w16cid:durableId="1951617678">
    <w:abstractNumId w:val="26"/>
  </w:num>
  <w:num w:numId="38" w16cid:durableId="1668678425">
    <w:abstractNumId w:val="18"/>
  </w:num>
  <w:num w:numId="39" w16cid:durableId="640422848">
    <w:abstractNumId w:val="77"/>
  </w:num>
  <w:num w:numId="40" w16cid:durableId="1107307256">
    <w:abstractNumId w:val="47"/>
  </w:num>
  <w:num w:numId="41" w16cid:durableId="1098217915">
    <w:abstractNumId w:val="19"/>
  </w:num>
  <w:num w:numId="42" w16cid:durableId="1347754412">
    <w:abstractNumId w:val="53"/>
  </w:num>
  <w:num w:numId="43" w16cid:durableId="300233740">
    <w:abstractNumId w:val="17"/>
  </w:num>
  <w:num w:numId="44" w16cid:durableId="1621302101">
    <w:abstractNumId w:val="59"/>
  </w:num>
  <w:num w:numId="45" w16cid:durableId="990133488">
    <w:abstractNumId w:val="41"/>
  </w:num>
  <w:num w:numId="46" w16cid:durableId="1678926738">
    <w:abstractNumId w:val="7"/>
  </w:num>
  <w:num w:numId="47" w16cid:durableId="1711879176">
    <w:abstractNumId w:val="20"/>
  </w:num>
  <w:num w:numId="48" w16cid:durableId="606081717">
    <w:abstractNumId w:val="60"/>
  </w:num>
  <w:num w:numId="49" w16cid:durableId="1289552725">
    <w:abstractNumId w:val="51"/>
  </w:num>
  <w:num w:numId="50" w16cid:durableId="27723816">
    <w:abstractNumId w:val="2"/>
  </w:num>
  <w:num w:numId="51" w16cid:durableId="269974560">
    <w:abstractNumId w:val="8"/>
  </w:num>
  <w:num w:numId="52" w16cid:durableId="378013095">
    <w:abstractNumId w:val="33"/>
  </w:num>
  <w:num w:numId="53" w16cid:durableId="1881935353">
    <w:abstractNumId w:val="5"/>
  </w:num>
  <w:num w:numId="54" w16cid:durableId="782264090">
    <w:abstractNumId w:val="36"/>
  </w:num>
  <w:num w:numId="55" w16cid:durableId="399787269">
    <w:abstractNumId w:val="0"/>
  </w:num>
  <w:num w:numId="56" w16cid:durableId="1346900294">
    <w:abstractNumId w:val="3"/>
  </w:num>
  <w:num w:numId="57" w16cid:durableId="635381198">
    <w:abstractNumId w:val="43"/>
  </w:num>
  <w:num w:numId="58" w16cid:durableId="2041012231">
    <w:abstractNumId w:val="71"/>
  </w:num>
  <w:num w:numId="59" w16cid:durableId="1988707363">
    <w:abstractNumId w:val="27"/>
  </w:num>
  <w:num w:numId="60" w16cid:durableId="108092441">
    <w:abstractNumId w:val="22"/>
  </w:num>
  <w:num w:numId="61" w16cid:durableId="111629134">
    <w:abstractNumId w:val="74"/>
  </w:num>
  <w:num w:numId="62" w16cid:durableId="690843161">
    <w:abstractNumId w:val="79"/>
  </w:num>
  <w:num w:numId="63" w16cid:durableId="950623871">
    <w:abstractNumId w:val="6"/>
  </w:num>
  <w:num w:numId="64" w16cid:durableId="160970361">
    <w:abstractNumId w:val="68"/>
  </w:num>
  <w:num w:numId="65" w16cid:durableId="731347894">
    <w:abstractNumId w:val="69"/>
  </w:num>
  <w:num w:numId="66" w16cid:durableId="839589319">
    <w:abstractNumId w:val="35"/>
  </w:num>
  <w:num w:numId="67" w16cid:durableId="1585798215">
    <w:abstractNumId w:val="15"/>
  </w:num>
  <w:num w:numId="68" w16cid:durableId="1486435885">
    <w:abstractNumId w:val="21"/>
  </w:num>
  <w:num w:numId="69" w16cid:durableId="2062703618">
    <w:abstractNumId w:val="25"/>
  </w:num>
  <w:num w:numId="70" w16cid:durableId="1221984519">
    <w:abstractNumId w:val="73"/>
  </w:num>
  <w:num w:numId="71" w16cid:durableId="325475716">
    <w:abstractNumId w:val="9"/>
  </w:num>
  <w:num w:numId="72" w16cid:durableId="1347294472">
    <w:abstractNumId w:val="45"/>
  </w:num>
  <w:num w:numId="73" w16cid:durableId="1026783983">
    <w:abstractNumId w:val="70"/>
  </w:num>
  <w:num w:numId="74" w16cid:durableId="168951914">
    <w:abstractNumId w:val="63"/>
  </w:num>
  <w:num w:numId="75" w16cid:durableId="1755471219">
    <w:abstractNumId w:val="14"/>
  </w:num>
  <w:num w:numId="76" w16cid:durableId="1881741312">
    <w:abstractNumId w:val="42"/>
  </w:num>
  <w:num w:numId="77" w16cid:durableId="1994792581">
    <w:abstractNumId w:val="67"/>
  </w:num>
  <w:num w:numId="78" w16cid:durableId="1193954337">
    <w:abstractNumId w:val="1"/>
  </w:num>
  <w:num w:numId="79" w16cid:durableId="1268809679">
    <w:abstractNumId w:val="49"/>
  </w:num>
  <w:num w:numId="80" w16cid:durableId="727804693">
    <w:abstractNumId w:val="44"/>
  </w:num>
  <w:num w:numId="81" w16cid:durableId="235241442">
    <w:abstractNumId w:val="37"/>
  </w:num>
  <w:num w:numId="82" w16cid:durableId="89751888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Innes">
    <w15:presenceInfo w15:providerId="Windows Live" w15:userId="4a47f0c1f3f8b0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36DE"/>
    <w:rsid w:val="00012333"/>
    <w:rsid w:val="00017517"/>
    <w:rsid w:val="00022F60"/>
    <w:rsid w:val="000436DE"/>
    <w:rsid w:val="00047D27"/>
    <w:rsid w:val="00064CCD"/>
    <w:rsid w:val="00070BCF"/>
    <w:rsid w:val="00083848"/>
    <w:rsid w:val="00096786"/>
    <w:rsid w:val="000A2864"/>
    <w:rsid w:val="000B7AF6"/>
    <w:rsid w:val="000C718A"/>
    <w:rsid w:val="000D3041"/>
    <w:rsid w:val="000D7D02"/>
    <w:rsid w:val="000F2021"/>
    <w:rsid w:val="00102B6D"/>
    <w:rsid w:val="00106728"/>
    <w:rsid w:val="001076C6"/>
    <w:rsid w:val="00122F8B"/>
    <w:rsid w:val="00135C73"/>
    <w:rsid w:val="001817DC"/>
    <w:rsid w:val="001863E5"/>
    <w:rsid w:val="001B0372"/>
    <w:rsid w:val="001B1615"/>
    <w:rsid w:val="001B3DB9"/>
    <w:rsid w:val="001B558E"/>
    <w:rsid w:val="001B568C"/>
    <w:rsid w:val="001B5721"/>
    <w:rsid w:val="001D57BA"/>
    <w:rsid w:val="00201C1D"/>
    <w:rsid w:val="0020217B"/>
    <w:rsid w:val="00212A4A"/>
    <w:rsid w:val="0023364A"/>
    <w:rsid w:val="002503C2"/>
    <w:rsid w:val="00266EEF"/>
    <w:rsid w:val="00270023"/>
    <w:rsid w:val="00270202"/>
    <w:rsid w:val="00277E17"/>
    <w:rsid w:val="00284315"/>
    <w:rsid w:val="002A34AF"/>
    <w:rsid w:val="002B0320"/>
    <w:rsid w:val="002C7FF4"/>
    <w:rsid w:val="002D3722"/>
    <w:rsid w:val="002F1AC1"/>
    <w:rsid w:val="0031251C"/>
    <w:rsid w:val="003176AC"/>
    <w:rsid w:val="003306B4"/>
    <w:rsid w:val="00336A85"/>
    <w:rsid w:val="00341CE4"/>
    <w:rsid w:val="003425FB"/>
    <w:rsid w:val="003530D5"/>
    <w:rsid w:val="00354388"/>
    <w:rsid w:val="00360922"/>
    <w:rsid w:val="003725FC"/>
    <w:rsid w:val="00377694"/>
    <w:rsid w:val="00385F6D"/>
    <w:rsid w:val="0038657F"/>
    <w:rsid w:val="003A68BF"/>
    <w:rsid w:val="003E60D9"/>
    <w:rsid w:val="003F211E"/>
    <w:rsid w:val="0040666C"/>
    <w:rsid w:val="00412244"/>
    <w:rsid w:val="00412D1D"/>
    <w:rsid w:val="00427850"/>
    <w:rsid w:val="0045707D"/>
    <w:rsid w:val="00460DA4"/>
    <w:rsid w:val="00467656"/>
    <w:rsid w:val="004715A7"/>
    <w:rsid w:val="004931F4"/>
    <w:rsid w:val="0049752C"/>
    <w:rsid w:val="004A4C9B"/>
    <w:rsid w:val="004B14AD"/>
    <w:rsid w:val="004B4E26"/>
    <w:rsid w:val="004B7751"/>
    <w:rsid w:val="004D5665"/>
    <w:rsid w:val="004D6E4D"/>
    <w:rsid w:val="004D7263"/>
    <w:rsid w:val="00502D09"/>
    <w:rsid w:val="00503DE8"/>
    <w:rsid w:val="005148C0"/>
    <w:rsid w:val="005408A2"/>
    <w:rsid w:val="00551BD3"/>
    <w:rsid w:val="00560318"/>
    <w:rsid w:val="005611F1"/>
    <w:rsid w:val="0056197E"/>
    <w:rsid w:val="005730FB"/>
    <w:rsid w:val="0057384B"/>
    <w:rsid w:val="00576A6A"/>
    <w:rsid w:val="005B06B7"/>
    <w:rsid w:val="005C600A"/>
    <w:rsid w:val="005F194F"/>
    <w:rsid w:val="00601773"/>
    <w:rsid w:val="006049E2"/>
    <w:rsid w:val="00607357"/>
    <w:rsid w:val="006126D3"/>
    <w:rsid w:val="00634086"/>
    <w:rsid w:val="00634C98"/>
    <w:rsid w:val="00643808"/>
    <w:rsid w:val="006736E8"/>
    <w:rsid w:val="00673B2F"/>
    <w:rsid w:val="00675C57"/>
    <w:rsid w:val="00677ACB"/>
    <w:rsid w:val="00694CF4"/>
    <w:rsid w:val="00695EC5"/>
    <w:rsid w:val="006A2304"/>
    <w:rsid w:val="006A7B41"/>
    <w:rsid w:val="006C4BF5"/>
    <w:rsid w:val="006D2130"/>
    <w:rsid w:val="006E681B"/>
    <w:rsid w:val="006F6D8A"/>
    <w:rsid w:val="00700655"/>
    <w:rsid w:val="00732E46"/>
    <w:rsid w:val="00752F91"/>
    <w:rsid w:val="00764BB1"/>
    <w:rsid w:val="0077019F"/>
    <w:rsid w:val="007751A5"/>
    <w:rsid w:val="007815FA"/>
    <w:rsid w:val="00784485"/>
    <w:rsid w:val="007A653B"/>
    <w:rsid w:val="007C1C95"/>
    <w:rsid w:val="007E2983"/>
    <w:rsid w:val="007F3198"/>
    <w:rsid w:val="007F439B"/>
    <w:rsid w:val="00804424"/>
    <w:rsid w:val="0080497C"/>
    <w:rsid w:val="008270D9"/>
    <w:rsid w:val="00832FAF"/>
    <w:rsid w:val="00834169"/>
    <w:rsid w:val="00841722"/>
    <w:rsid w:val="00846F59"/>
    <w:rsid w:val="008521DC"/>
    <w:rsid w:val="008654F1"/>
    <w:rsid w:val="0086622E"/>
    <w:rsid w:val="008763EC"/>
    <w:rsid w:val="00876BDA"/>
    <w:rsid w:val="008A1154"/>
    <w:rsid w:val="008A2C10"/>
    <w:rsid w:val="008A416A"/>
    <w:rsid w:val="008B073F"/>
    <w:rsid w:val="008F0BC3"/>
    <w:rsid w:val="008F2B5A"/>
    <w:rsid w:val="00920A4C"/>
    <w:rsid w:val="0092209F"/>
    <w:rsid w:val="00927332"/>
    <w:rsid w:val="00947A54"/>
    <w:rsid w:val="00950D7A"/>
    <w:rsid w:val="00953476"/>
    <w:rsid w:val="009569A1"/>
    <w:rsid w:val="00960544"/>
    <w:rsid w:val="009668D0"/>
    <w:rsid w:val="009731BA"/>
    <w:rsid w:val="00973CE4"/>
    <w:rsid w:val="00987F16"/>
    <w:rsid w:val="009A2229"/>
    <w:rsid w:val="009B0224"/>
    <w:rsid w:val="009B3BF7"/>
    <w:rsid w:val="009C1245"/>
    <w:rsid w:val="009E0832"/>
    <w:rsid w:val="009E7672"/>
    <w:rsid w:val="00A13462"/>
    <w:rsid w:val="00A26FF6"/>
    <w:rsid w:val="00A476F4"/>
    <w:rsid w:val="00A4781D"/>
    <w:rsid w:val="00A555D9"/>
    <w:rsid w:val="00A72314"/>
    <w:rsid w:val="00A8153D"/>
    <w:rsid w:val="00A96A10"/>
    <w:rsid w:val="00AB47CF"/>
    <w:rsid w:val="00AD6564"/>
    <w:rsid w:val="00AF32EB"/>
    <w:rsid w:val="00AF63D3"/>
    <w:rsid w:val="00B37DC5"/>
    <w:rsid w:val="00B4637F"/>
    <w:rsid w:val="00B72341"/>
    <w:rsid w:val="00B976AE"/>
    <w:rsid w:val="00B97859"/>
    <w:rsid w:val="00BA1501"/>
    <w:rsid w:val="00BB495A"/>
    <w:rsid w:val="00BB5224"/>
    <w:rsid w:val="00BD71A1"/>
    <w:rsid w:val="00BD78B3"/>
    <w:rsid w:val="00BE2D33"/>
    <w:rsid w:val="00BE3651"/>
    <w:rsid w:val="00BF22C9"/>
    <w:rsid w:val="00BF5AB9"/>
    <w:rsid w:val="00BF7558"/>
    <w:rsid w:val="00C026DB"/>
    <w:rsid w:val="00C219A6"/>
    <w:rsid w:val="00C41575"/>
    <w:rsid w:val="00C4652E"/>
    <w:rsid w:val="00C83E66"/>
    <w:rsid w:val="00C96CD0"/>
    <w:rsid w:val="00CD2CC6"/>
    <w:rsid w:val="00CD5C45"/>
    <w:rsid w:val="00D074E9"/>
    <w:rsid w:val="00D15BCF"/>
    <w:rsid w:val="00D1654A"/>
    <w:rsid w:val="00D25713"/>
    <w:rsid w:val="00D27072"/>
    <w:rsid w:val="00D33409"/>
    <w:rsid w:val="00D56579"/>
    <w:rsid w:val="00D63CAB"/>
    <w:rsid w:val="00D91A17"/>
    <w:rsid w:val="00D951E9"/>
    <w:rsid w:val="00D953D7"/>
    <w:rsid w:val="00D96BFC"/>
    <w:rsid w:val="00DA5982"/>
    <w:rsid w:val="00DA6871"/>
    <w:rsid w:val="00DB3057"/>
    <w:rsid w:val="00DF40BC"/>
    <w:rsid w:val="00E55496"/>
    <w:rsid w:val="00E713BE"/>
    <w:rsid w:val="00E971E0"/>
    <w:rsid w:val="00EB033C"/>
    <w:rsid w:val="00EB2BC2"/>
    <w:rsid w:val="00EB3BE0"/>
    <w:rsid w:val="00EC0F24"/>
    <w:rsid w:val="00EC3208"/>
    <w:rsid w:val="00EF6653"/>
    <w:rsid w:val="00F02DEE"/>
    <w:rsid w:val="00F525C4"/>
    <w:rsid w:val="00F63D7A"/>
    <w:rsid w:val="00F651F7"/>
    <w:rsid w:val="00F66BDB"/>
    <w:rsid w:val="00F81F5A"/>
    <w:rsid w:val="00F92904"/>
    <w:rsid w:val="00F97539"/>
    <w:rsid w:val="00FD4870"/>
    <w:rsid w:val="00FD7309"/>
    <w:rsid w:val="00FE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FFFB3"/>
  <w15:docId w15:val="{261EF80F-AAB3-4629-95EF-62C560C6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F4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2"/>
      <w:ind w:left="26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6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7"/>
      <w:ind w:left="26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14"/>
      <w:ind w:left="562" w:hanging="20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20"/>
      <w:jc w:val="center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E60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60D9"/>
    <w:rPr>
      <w:rFonts w:ascii="Arial" w:eastAsia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60D9"/>
    <w:rPr>
      <w:vertAlign w:val="superscript"/>
    </w:rPr>
  </w:style>
  <w:style w:type="character" w:styleId="Strong">
    <w:name w:val="Strong"/>
    <w:basedOn w:val="DefaultParagraphFont"/>
    <w:uiPriority w:val="22"/>
    <w:qFormat/>
    <w:rsid w:val="004122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00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Header">
    <w:name w:val="header"/>
    <w:basedOn w:val="Normal"/>
    <w:link w:val="HeaderChar"/>
    <w:uiPriority w:val="99"/>
    <w:unhideWhenUsed/>
    <w:rsid w:val="004B14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4A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B14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4AD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9E08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08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0832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8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832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AF6D-1DB4-4D10-BF30-6E2418674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4848</Words>
  <Characters>28216</Characters>
  <Application>Microsoft Office Word</Application>
  <DocSecurity>0</DocSecurity>
  <Lines>1045</Lines>
  <Paragraphs>751</Paragraphs>
  <ScaleCrop>false</ScaleCrop>
  <Company/>
  <LinksUpToDate>false</LinksUpToDate>
  <CharactersWithSpaces>32313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John Innes</cp:lastModifiedBy>
  <cp:revision>219</cp:revision>
  <dcterms:created xsi:type="dcterms:W3CDTF">2026-04-16T06:43:00Z</dcterms:created>
  <dcterms:modified xsi:type="dcterms:W3CDTF">2026-04-23T02:05:00Z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2026-04-16T00:00:00Z</vt:filetime>
  </property>
  <property fmtid="{D5CDD505-2E9C-101B-9397-08002B2CF9AE}" pid="5" name="Producer">
    <vt:lpwstr>ReportLab PDF Library - (opensource)</vt:lpwstr>
  </property>
</Properties>
</file>