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color w:val="000000"/>
        </w:rPr>
        <w:t>ECS795P</w:t>
      </w:r>
      <w:r>
        <w:rPr/>
        <w:t xml:space="preserve"> Deep Learning and Computer Vision, 2019</w:t>
      </w:r>
      <w:bookmarkStart w:id="0" w:name="_GoBack"/>
      <w:bookmarkEnd w:id="0"/>
    </w:p>
    <w:p>
      <w:pPr>
        <w:pStyle w:val="Subtitle"/>
        <w:rPr>
          <w:b/>
          <w:b/>
          <w:bCs/>
          <w:i w:val="false"/>
          <w:i w:val="false"/>
          <w:iCs w:val="false"/>
          <w:color w:val="FF0000"/>
          <w:sz w:val="30"/>
          <w:szCs w:val="30"/>
        </w:rPr>
      </w:pPr>
      <w:r>
        <w:rPr>
          <w:b/>
          <w:bCs/>
          <w:i w:val="false"/>
          <w:iCs w:val="false"/>
          <w:color w:val="FF0000"/>
          <w:sz w:val="30"/>
          <w:szCs w:val="30"/>
        </w:rPr>
        <w:t>Course Work 1: Image Super-resolution Using Deep Learning</w:t>
      </w:r>
    </w:p>
    <w:p>
      <w:pPr>
        <w:pStyle w:val="Subtitle"/>
        <w:rPr>
          <w:b/>
          <w:b/>
          <w:bCs/>
          <w:i w:val="false"/>
          <w:i w:val="false"/>
          <w:iCs w:val="false"/>
          <w:color w:val="FF0000"/>
          <w:sz w:val="30"/>
          <w:szCs w:val="30"/>
        </w:rPr>
      </w:pPr>
      <w:r>
        <w:rPr>
          <w:b/>
          <w:bCs/>
          <w:i w:val="false"/>
          <w:iCs w:val="false"/>
          <w:color w:val="FF0000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Suppose the settings of a SRCNN as: f1=9, f2=3, f3=5, how many pixels of the low-resolution image are utilized to reconstruct a pixel of the high-resolution image with the SRCNN?  </w:t>
      </w:r>
      <w:r>
        <w:rPr>
          <w:color w:val="C00000"/>
        </w:rPr>
        <w:t>(10% 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/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Total pixels = (f1 + f2  + f3 -2)^2 = 225</w:t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225 Pixels are used</w:t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Why the deep convolutional model is superior to perform image super-resolution? Give one reason to explain it. </w:t>
      </w:r>
      <w:r>
        <w:rPr>
          <w:color w:val="C00000"/>
        </w:rPr>
        <w:t>(10%of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/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The whole process is trained via back-propagation whereas previous models had only sought to optimise one part of the process. By using an end-to-end optimisation we are optimising the filters/feature extraction, the non-linear mapping AND the recombination of the hi-res patches.</w:t>
      </w:r>
    </w:p>
    <w:p>
      <w:pPr>
        <w:pStyle w:val="Normal"/>
        <w:spacing w:lineRule="auto" w:line="276" w:before="0" w:after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Please explain the physical meaning of </w:t>
      </w:r>
      <w:r>
        <w:rPr>
          <w:color w:val="7030A0"/>
        </w:rPr>
        <w:t>peak signal-to-noise ratio (PSNR)</w:t>
      </w:r>
      <w:r>
        <w:rPr/>
        <w:t xml:space="preserve"> in the context of image super-resolution. PS: place here the ground truth (GT) image, and the high-resolution images by SCRNN (HR-SRCNN) and bicubic interpolation (HR-BI) for reference. Also put the PSNR value below the high-resolution images. </w:t>
      </w:r>
      <w:r>
        <w:rPr>
          <w:color w:val="C00000"/>
        </w:rPr>
        <w:t>(10% 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/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 xml:space="preserve">Peak Signal to Noise Ratio (PSNR) is a measure of the noise introduced in the super-resolution process. </w:t>
      </w:r>
      <w:r>
        <w:rPr>
          <w:color w:val="C00000"/>
        </w:rPr>
        <w:t>As the name suggests it is giving a measure of the maximum signal divided by the noise.</w:t>
      </w:r>
      <w:r>
        <w:rPr>
          <w:color w:val="C00000"/>
        </w:rPr>
        <w:t xml:space="preserve"> It compares the ground truth image to the output of the SRCNN. A higher PSNR indicates an output more similar to the ground truth. </w:t>
      </w:r>
      <w:r>
        <w:rPr>
          <w:color w:val="C00000"/>
        </w:rPr>
        <w:t>PSNR can be calculated using Minimum Square Error (MSE) and the maximum pixel value (e.g. 255 for 8 bits per pixel)</w:t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PSNR = 10 log</w:t>
      </w:r>
      <w:r>
        <w:rPr>
          <w:color w:val="C00000"/>
          <w:vertAlign w:val="subscript"/>
        </w:rPr>
        <w:t>10</w:t>
      </w:r>
      <w:r>
        <w:rPr>
          <w:color w:val="C00000"/>
          <w:position w:val="0"/>
          <w:sz w:val="24"/>
          <w:vertAlign w:val="baseline"/>
        </w:rPr>
        <w:t>(MAX</w:t>
      </w:r>
      <w:r>
        <w:rPr>
          <w:color w:val="C00000"/>
          <w:vertAlign w:val="superscript"/>
        </w:rPr>
        <w:t>2</w:t>
      </w:r>
      <w:r>
        <w:rPr>
          <w:color w:val="C00000"/>
          <w:position w:val="0"/>
          <w:sz w:val="24"/>
          <w:vertAlign w:val="baseline"/>
        </w:rPr>
        <w:t>/MSE)</w:t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  <w:position w:val="0"/>
          <w:sz w:val="24"/>
          <w:vertAlign w:val="baseline"/>
        </w:rPr>
        <w:t>Therefore minimising MSE should maximise PSNR.</w:t>
      </w:r>
    </w:p>
    <w:tbl>
      <w:tblPr>
        <w:tblStyle w:val="TableGrid"/>
        <w:tblW w:w="40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77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76" w:before="0" w:after="240"/>
              <w:rPr>
                <w:color w:val="0070C0"/>
              </w:rPr>
            </w:pPr>
            <w:r>
              <w:rPr>
                <w:color w:val="0070C0"/>
              </w:rPr>
              <w:t>GT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4575" cy="23145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76" w:before="0" w:after="240"/>
              <w:rPr/>
            </w:pPr>
            <w:r>
              <w:rPr>
                <w:color w:val="0070C0"/>
              </w:rPr>
              <w:t>HR-BI (PSNR=</w:t>
            </w:r>
            <w:r>
              <w:rPr>
                <w:color w:val="0070C0"/>
              </w:rPr>
              <w:t>20.5</w:t>
            </w:r>
            <w:r>
              <w:rPr>
                <w:color w:val="0070C0"/>
              </w:rPr>
              <w:t>)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4575" cy="231457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76" w:before="0" w:after="240"/>
              <w:rPr/>
            </w:pPr>
            <w:r>
              <w:rPr>
                <w:color w:val="0070C0"/>
              </w:rPr>
              <w:t>HR-SRCNN (PSNR=</w:t>
            </w:r>
            <w:r>
              <w:rPr>
                <w:color w:val="0070C0"/>
              </w:rPr>
              <w:t>21.8</w:t>
            </w:r>
            <w:r>
              <w:rPr>
                <w:color w:val="0070C0"/>
              </w:rPr>
              <w:t>)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4575" cy="231457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 w:before="0" w:after="240"/>
        <w:rPr/>
      </w:pPr>
      <w:r>
        <w:rPr/>
      </w:r>
    </w:p>
    <w:sectPr>
      <w:type w:val="nextPage"/>
      <w:pgSz w:w="11906" w:h="16838"/>
      <w:pgMar w:left="1701" w:right="1558" w:header="0" w:top="1440" w:footer="0" w:bottom="144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b w:val="fals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WenQuanYi Zen Hei Sharp" w:cs="Times New Roman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WenQuanYi Zen Hei Sharp" w:cs="Times New Roman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qFormat/>
    <w:pPr>
      <w:keepNext w:val="true"/>
      <w:keepLines/>
      <w:widowControl w:val="false"/>
      <w:spacing w:before="480" w:after="0"/>
      <w:outlineLvl w:val="0"/>
    </w:pPr>
    <w:rPr>
      <w:rFonts w:ascii="Calibri" w:hAnsi="Calibri" w:eastAsia="WenQuanYi Zen Hei Sharp" w:cs="Times New Roman"/>
      <w:b/>
      <w:bCs/>
      <w:color w:val="345A8A"/>
      <w:kern w:val="0"/>
      <w:sz w:val="32"/>
      <w:szCs w:val="32"/>
      <w:lang w:val="en-US" w:eastAsia="ja-JP" w:bidi="ar-SA"/>
    </w:rPr>
  </w:style>
  <w:style w:type="paragraph" w:styleId="Heading2">
    <w:name w:val="Heading 2"/>
    <w:qFormat/>
    <w:pPr>
      <w:keepNext w:val="true"/>
      <w:keepLines/>
      <w:widowControl w:val="false"/>
      <w:spacing w:before="200" w:after="0"/>
      <w:outlineLvl w:val="1"/>
    </w:pPr>
    <w:rPr>
      <w:rFonts w:ascii="Calibri" w:hAnsi="Calibri" w:eastAsia="WenQuanYi Zen Hei Sharp" w:cs="Times New Roman"/>
      <w:b/>
      <w:bCs/>
      <w:color w:val="4F81BD"/>
      <w:kern w:val="0"/>
      <w:sz w:val="26"/>
      <w:szCs w:val="26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qFormat/>
    <w:rPr>
      <w:rFonts w:ascii="Calibri" w:hAnsi="Calibri"/>
      <w:color w:val="17365D"/>
      <w:spacing w:val="5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/>
      <w:i/>
      <w:iCs/>
      <w:color w:val="4F81BD"/>
      <w:spacing w:val="15"/>
    </w:rPr>
  </w:style>
  <w:style w:type="character" w:styleId="Heading1Char" w:customStyle="1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360b4"/>
    <w:rPr>
      <w:rFonts w:ascii="Lucida Grande" w:hAnsi="Lucida Grande" w:cs="Lucida Grande"/>
    </w:rPr>
  </w:style>
  <w:style w:type="character" w:styleId="InternetLink" w:customStyle="1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b w:val="false"/>
    </w:rPr>
  </w:style>
  <w:style w:type="character" w:styleId="ListLabel5" w:customStyle="1">
    <w:name w:val="ListLabel 5"/>
    <w:qFormat/>
    <w:rPr>
      <w:sz w:val="21"/>
      <w:szCs w:val="21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b w:val="false"/>
    </w:rPr>
  </w:style>
  <w:style w:type="character" w:styleId="ListLabel10" w:customStyle="1">
    <w:name w:val="ListLabel 10"/>
    <w:qFormat/>
    <w:rPr>
      <w:rFonts w:cs="Wingdings"/>
      <w:sz w:val="21"/>
      <w:szCs w:val="21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9ac"/>
    <w:rPr>
      <w:rFonts w:ascii="Tahoma" w:hAnsi="Tahoma" w:cs="Tahoma"/>
      <w:sz w:val="16"/>
      <w:szCs w:val="16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Hindi"/>
      <w:sz w:val="28"/>
      <w:szCs w:val="28"/>
    </w:rPr>
  </w:style>
  <w:style w:type="paragraph" w:styleId="TextBody" w:customStyle="1">
    <w:name w:val="Body Text"/>
    <w:basedOn w:val="Normal1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Hindi"/>
    </w:rPr>
  </w:style>
  <w:style w:type="paragraph" w:styleId="Normal1" w:customStyle="1">
    <w:name w:val="Normal1"/>
    <w:qFormat/>
    <w:pPr>
      <w:widowControl/>
      <w:suppressAutoHyphens w:val="true"/>
      <w:bidi w:val="0"/>
      <w:jc w:val="left"/>
    </w:pPr>
    <w:rPr>
      <w:rFonts w:eastAsia="DejaVu Sans" w:ascii="Cambria" w:hAnsi="Cambria" w:cs="Times New Roman"/>
      <w:color w:val="00000A"/>
      <w:kern w:val="0"/>
      <w:sz w:val="24"/>
      <w:szCs w:val="24"/>
      <w:lang w:eastAsia="en-US" w:val="en-US" w:bidi="ar-SA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Hindi"/>
      <w:i/>
      <w:iCs/>
    </w:rPr>
  </w:style>
  <w:style w:type="paragraph" w:styleId="Title">
    <w:name w:val="Title"/>
    <w:basedOn w:val="Normal1"/>
    <w:qFormat/>
    <w:pPr>
      <w:pBdr>
        <w:bottom w:val="single" w:sz="8" w:space="0" w:color="4F81BD"/>
      </w:pBdr>
      <w:spacing w:before="0"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qFormat/>
    <w:pPr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qFormat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1"/>
    <w:link w:val="DocumentMapChar"/>
    <w:uiPriority w:val="99"/>
    <w:semiHidden/>
    <w:unhideWhenUsed/>
    <w:qFormat/>
    <w:rsid w:val="00f360b4"/>
    <w:pPr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9a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62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Application>LibreOffice/6.0.7.3$Linux_X86_64 LibreOffice_project/00m0$Build-3</Application>
  <Pages>3</Pages>
  <Words>269</Words>
  <Characters>1387</Characters>
  <CharactersWithSpaces>1641</CharactersWithSpaces>
  <Paragraphs>14</Paragraphs>
  <Company>Queen Mary, University of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2014-10-10T19:39:00Z</dcterms:created>
  <dc:creator>Tim H</dc:creator>
  <dc:description/>
  <dc:language>en-GB</dc:language>
  <cp:lastModifiedBy/>
  <cp:lastPrinted>2015-01-14T18:36:00Z</cp:lastPrinted>
  <dcterms:modified xsi:type="dcterms:W3CDTF">2019-02-03T18:53:23Z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 Mary, University of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