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F5226"/>
        </w:rPr>
        <w:t>SING THE EASY WAY</w:t>
      </w:r>
    </w:p>
    <w:p>
      <w:pPr>
        <w:pStyle w:val="Title"/>
        <w:jc w:val="center"/>
      </w:pPr>
      <w:r>
        <w:t>Website Project Handover</w:t>
      </w:r>
    </w:p>
    <w:p>
      <w:pPr>
        <w:jc w:val="center"/>
      </w:pPr>
      <w:r>
        <w:rPr>
          <w:i/>
        </w:rPr>
        <w:t>Authoritative project status, remediation checklist and AI continuity brief</w:t>
        <w:br/>
      </w:r>
      <w:r>
        <w:t>Repository: mattthompson152-blip/singtheeasyway111</w:t>
        <w:br/>
        <w:t>Updated: 15 September 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0E8"/>
          </w:tcPr>
          <w:p>
            <w:pPr>
              <w:jc w:val="center"/>
            </w:pPr>
            <w:r>
              <w:rPr>
                <w:b/>
                <w:color w:val="A63C18"/>
              </w:rPr>
              <w:t>SOURCE-OF-TRUTH RULE</w:t>
            </w:r>
            <w:r>
              <w:br/>
              <w:t>Live browser evidence and committed source outrank AI summaries. A task is not complete until both are checked where applicable.</w:t>
            </w:r>
          </w:p>
        </w:tc>
      </w:tr>
    </w:tbl>
    <w:p>
      <w:pPr>
        <w:pStyle w:val="Heading1"/>
      </w:pPr>
      <w:r>
        <w:t>1. Current status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080"/>
            <w:shd w:fill="2F3A4B"/>
          </w:tcPr>
          <w:p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2376"/>
            <w:shd w:fill="2F3A4B"/>
          </w:tcPr>
          <w:p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6624"/>
            <w:shd w:fill="2F3A4B"/>
          </w:tcPr>
          <w:p>
            <w:r>
              <w:rPr>
                <w:b/>
                <w:color w:val="FFFFFF"/>
                <w:sz w:val="17"/>
              </w:rPr>
              <w:t>Authoritative position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>
              <w:rPr>
                <w:sz w:val="16"/>
              </w:rPr>
              <w:t>DONE</w:t>
            </w:r>
          </w:p>
        </w:tc>
        <w:tc>
          <w:tcPr>
            <w:tcW w:type="dxa" w:w="2376"/>
          </w:tcPr>
          <w:p>
            <w:pPr>
              <w:spacing w:after="0"/>
            </w:pPr>
            <w:r>
              <w:rPr>
                <w:sz w:val="16"/>
              </w:rPr>
              <w:t>Audit and analytics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sz w:val="16"/>
              </w:rPr>
              <w:t>Public audit completed. Roughly 1,600 visitors, one known enquiry and no bookings.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>
              <w:rPr>
                <w:sz w:val="16"/>
              </w:rPr>
              <w:t>DONE</w:t>
            </w:r>
          </w:p>
        </w:tc>
        <w:tc>
          <w:tcPr>
            <w:tcW w:type="dxa" w:w="2376"/>
          </w:tcPr>
          <w:p>
            <w:pPr>
              <w:spacing w:after="0"/>
            </w:pPr>
            <w:r>
              <w:rPr>
                <w:sz w:val="16"/>
              </w:rPr>
              <w:t>Partial CTA work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sz w:val="16"/>
              </w:rPr>
              <w:t>index.html and pricing.html received CTA edits. pricing.html merge-conflict markers were reported resolved.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>
              <w:rPr>
                <w:sz w:val="16"/>
              </w:rPr>
              <w:t>PARTIAL</w:t>
            </w:r>
          </w:p>
        </w:tc>
        <w:tc>
          <w:tcPr>
            <w:tcW w:type="dxa" w:w="2376"/>
          </w:tcPr>
          <w:p>
            <w:pPr>
              <w:spacing w:after="0"/>
            </w:pPr>
            <w:r>
              <w:rPr>
                <w:sz w:val="16"/>
              </w:rPr>
              <w:t>enquiry.html redesign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sz w:val="16"/>
              </w:rPr>
              <w:t>Redesign committed, but live evidence still shows unwanted music-note branding and an incorrect Jotform presentation.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>
              <w:rPr>
                <w:sz w:val="16"/>
              </w:rPr>
              <w:t>OPEN</w:t>
            </w:r>
          </w:p>
        </w:tc>
        <w:tc>
          <w:tcPr>
            <w:tcW w:type="dxa" w:w="2376"/>
          </w:tcPr>
          <w:p>
            <w:pPr>
              <w:spacing w:after="0"/>
            </w:pPr>
            <w:r>
              <w:rPr>
                <w:sz w:val="16"/>
              </w:rPr>
              <w:t>Pricing savings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sz w:val="16"/>
              </w:rPr>
              <w:t>Later source inspection proved Was £50, Save £25 (50% off), and Save £150 were absent despite earlier completion claims.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>
              <w:rPr>
                <w:sz w:val="16"/>
              </w:rPr>
              <w:t>OPEN</w:t>
            </w:r>
          </w:p>
        </w:tc>
        <w:tc>
          <w:tcPr>
            <w:tcW w:type="dxa" w:w="2376"/>
          </w:tcPr>
          <w:p>
            <w:pPr>
              <w:spacing w:after="0"/>
            </w:pPr>
            <w:r>
              <w:rPr>
                <w:sz w:val="16"/>
              </w:rPr>
              <w:t>Mobile menu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sz w:val="16"/>
              </w:rPr>
              <w:t>Matt reported contact.html burger menu failure. Static inspection does not prove live behaviour.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>
              <w:rPr>
                <w:sz w:val="16"/>
              </w:rPr>
              <w:t>OPEN</w:t>
            </w:r>
          </w:p>
        </w:tc>
        <w:tc>
          <w:tcPr>
            <w:tcW w:type="dxa" w:w="2376"/>
          </w:tcPr>
          <w:p>
            <w:pPr>
              <w:spacing w:after="0"/>
            </w:pPr>
            <w:r>
              <w:rPr>
                <w:sz w:val="16"/>
              </w:rPr>
              <w:t>Conversion and design</w:t>
            </w:r>
          </w:p>
        </w:tc>
        <w:tc>
          <w:tcPr>
            <w:tcW w:type="dxa" w:w="6624"/>
          </w:tcPr>
          <w:p>
            <w:pPr>
              <w:spacing w:after="0"/>
            </w:pPr>
            <w:r>
              <w:rPr>
                <w:sz w:val="16"/>
              </w:rPr>
              <w:t>GA4 tracking, outcome-led copy, imagery, personal branding and site-wide consistency remain incomplete.</w:t>
            </w:r>
          </w:p>
        </w:tc>
      </w:tr>
    </w:tbl>
    <w:p>
      <w:pPr>
        <w:pStyle w:val="Heading1"/>
      </w:pPr>
      <w:r>
        <w:t>2. Confirmed live defects</w:t>
      </w:r>
    </w:p>
    <w:p>
      <w:pPr>
        <w:spacing w:after="40"/>
      </w:pPr>
      <w:r>
        <w:t>☐ Large white music-note graphic above the enquiry hero.</w:t>
      </w:r>
    </w:p>
    <w:p>
      <w:pPr>
        <w:spacing w:after="40"/>
      </w:pPr>
      <w:r>
        <w:t>☐ Large linked “Sing The Easy Way” and “Online Singing Lessons” text above the enquiry hero.</w:t>
      </w:r>
    </w:p>
    <w:p>
      <w:pPr>
        <w:spacing w:after="40"/>
      </w:pPr>
      <w:r>
        <w:t>☐ Large black area pushes the enquiry content down.</w:t>
      </w:r>
    </w:p>
    <w:p>
      <w:pPr>
        <w:spacing w:after="40"/>
      </w:pPr>
      <w:r>
        <w:t>☐ Jotform presents branding, a preview, image or link rather than immediately showing usable form fields and submit control.</w:t>
      </w:r>
    </w:p>
    <w:p>
      <w:pPr>
        <w:spacing w:after="40"/>
      </w:pPr>
      <w:r>
        <w:t>☐ Pricing savings were not visible and later were absent from current source.</w:t>
      </w:r>
    </w:p>
    <w:p>
      <w:pPr>
        <w:spacing w:after="40"/>
      </w:pPr>
      <w:r>
        <w:t>☐ Burger menu on contact.html was reported not working.</w:t>
      </w:r>
    </w:p>
    <w:p>
      <w:pPr>
        <w:pStyle w:val="Heading1"/>
      </w:pPr>
      <w:r>
        <w:t>3. Locked decisions</w:t>
      </w:r>
    </w:p>
    <w:p>
      <w:pPr>
        <w:spacing w:after="40"/>
      </w:pPr>
      <w:r>
        <w:t>☒ Goal: enquiry → £25 vocal assessment → £85 single lesson or £700 ten-lesson block.</w:t>
      </w:r>
    </w:p>
    <w:p>
      <w:pPr>
        <w:spacing w:after="40"/>
      </w:pPr>
      <w:r>
        <w:t>☒ enquiry.html is the dependable enquiry destination; do not depend on a modal.</w:t>
      </w:r>
    </w:p>
    <w:p>
      <w:pPr>
        <w:spacing w:after="40"/>
      </w:pPr>
      <w:r>
        <w:t>☒ Preserve Jotform ID 261603325649357.</w:t>
      </w:r>
    </w:p>
    <w:p>
      <w:pPr>
        <w:spacing w:after="40"/>
      </w:pPr>
      <w:r>
        <w:t>☒ Use “Enquire About a £25 Vocal Assessment” when the action is an enquiry, not instant booking.</w:t>
      </w:r>
    </w:p>
    <w:p>
      <w:pPr>
        <w:spacing w:after="40"/>
      </w:pPr>
      <w:r>
        <w:t>☒ Keep Send an Enquiry where useful, plus direct Book a Single Lesson and Book a 10-Lesson Block choices.</w:t>
      </w:r>
    </w:p>
    <w:p>
      <w:pPr>
        <w:spacing w:after="40"/>
      </w:pPr>
      <w:r>
        <w:t>☒ Correct pricing: assessment normally £50, offer £25, saving £25/50%; single £85; block £700, £70 per lesson, saving £150.</w:t>
      </w:r>
    </w:p>
    <w:p>
      <w:pPr>
        <w:spacing w:after="40"/>
      </w:pPr>
      <w:r>
        <w:t>☒ British English only. Never invent claims, testimonials, statistics, results or uplift estimates.</w:t>
      </w:r>
    </w:p>
    <w:p>
      <w:pPr>
        <w:pStyle w:val="Heading1"/>
      </w:pPr>
      <w:r>
        <w:t>4. Implementation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728"/>
            <w:shd w:fill="2F3A4B"/>
          </w:tcPr>
          <w:p>
            <w:r>
              <w:rPr>
                <w:b/>
                <w:color w:val="FFFFFF"/>
                <w:sz w:val="17"/>
              </w:rPr>
              <w:t>File</w:t>
            </w:r>
          </w:p>
        </w:tc>
        <w:tc>
          <w:tcPr>
            <w:tcW w:type="dxa" w:w="3168"/>
            <w:shd w:fill="2F3A4B"/>
          </w:tcPr>
          <w:p>
            <w:r>
              <w:rPr>
                <w:b/>
                <w:color w:val="FFFFFF"/>
                <w:sz w:val="17"/>
              </w:rPr>
              <w:t>Reported change</w:t>
            </w:r>
          </w:p>
        </w:tc>
        <w:tc>
          <w:tcPr>
            <w:tcW w:type="dxa" w:w="5184"/>
            <w:shd w:fill="2F3A4B"/>
          </w:tcPr>
          <w:p>
            <w:r>
              <w:rPr>
                <w:b/>
                <w:color w:val="FFFFFF"/>
                <w:sz w:val="17"/>
              </w:rPr>
              <w:t>Evidence / caution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index.html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6"/>
              </w:rPr>
              <w:t>CTA changes; commit d9e3ab97af3ef8645939ddc9687143beb4bea279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Live page showed Book a Consultation, but future wording must accurately describe an enquiry.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pricing.html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6"/>
              </w:rPr>
              <w:t>CTA changes and conflict resolution; commit c20f5f990000ad65f0d45ac228a8f6f7ee2ad88b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Savings remained absent in later source inspection.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enquiry.html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6"/>
              </w:rPr>
              <w:t>Redesign; commit 2389de5d1337517b869b14951f6aee71c12672a3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Live screenshot contradicts the completion report.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rPr>
                <w:sz w:val="16"/>
              </w:rPr>
              <w:t>assets/js/main.js</w:t>
            </w:r>
          </w:p>
        </w:tc>
        <w:tc>
          <w:tcPr>
            <w:tcW w:type="dxa" w:w="3168"/>
          </w:tcPr>
          <w:p>
            <w:pPr>
              <w:spacing w:after="0"/>
            </w:pPr>
            <w:r>
              <w:rPr>
                <w:sz w:val="16"/>
              </w:rPr>
              <w:t>Central Jotform handler reported</w:t>
            </w:r>
          </w:p>
        </w:tc>
        <w:tc>
          <w:tcPr>
            <w:tcW w:type="dxa" w:w="5184"/>
          </w:tcPr>
          <w:p>
            <w:pPr>
              <w:spacing w:after="0"/>
            </w:pPr>
            <w:r>
              <w:rPr>
                <w:sz w:val="16"/>
              </w:rPr>
              <w:t>Final journey should work without a modal.</w:t>
            </w:r>
          </w:p>
        </w:tc>
      </w:tr>
    </w:tbl>
    <w:p>
      <w:pPr>
        <w:pStyle w:val="Heading1"/>
      </w:pPr>
      <w:r>
        <w:t>5. Required corrective scope</w:t>
      </w:r>
    </w:p>
    <w:p>
      <w:pPr>
        <w:pStyle w:val="Heading2"/>
      </w:pPr>
      <w:r>
        <w:t>Enquiry page</w:t>
      </w:r>
    </w:p>
    <w:p>
      <w:pPr>
        <w:spacing w:after="40"/>
      </w:pPr>
      <w:r>
        <w:t>☐ Remove music-note graphic, both large linked headings and resulting black space.</w:t>
      </w:r>
    </w:p>
    <w:p>
      <w:pPr>
        <w:spacing w:after="40"/>
      </w:pPr>
      <w:r>
        <w:t>☐ Normal navigation must be followed immediately by the enquiry hero.</w:t>
      </w:r>
    </w:p>
    <w:p>
      <w:pPr>
        <w:spacing w:after="40"/>
      </w:pPr>
      <w:r>
        <w:t>☐ Actual Jotform fields and submit control must be visible inline. Preserve form ID.</w:t>
      </w:r>
    </w:p>
    <w:p>
      <w:pPr>
        <w:spacing w:after="40"/>
      </w:pPr>
      <w:r>
        <w:t>☐ Start Your Enquiry must scroll directly to the form.</w:t>
      </w:r>
    </w:p>
    <w:p>
      <w:pPr>
        <w:spacing w:after="40"/>
      </w:pPr>
      <w:r>
        <w:t>☐ Keep approved hero, assessment explanation, How It Works, trust, verified testimonial, FAQ and email alternative.</w:t>
      </w:r>
    </w:p>
    <w:p>
      <w:pPr>
        <w:spacing w:after="40"/>
      </w:pPr>
      <w:r>
        <w:t>☐ If Jotform itself generates the branding, document the exact form-builder action required.</w:t>
      </w:r>
    </w:p>
    <w:p>
      <w:pPr>
        <w:pStyle w:val="Heading2"/>
      </w:pPr>
      <w:r>
        <w:t>Pricing and CTA consistency</w:t>
      </w:r>
    </w:p>
    <w:p>
      <w:pPr>
        <w:spacing w:after="40"/>
      </w:pPr>
      <w:r>
        <w:t>☐ Show Was £50, £25 and Save £25 (50% off) on index.html and pricing.html.</w:t>
      </w:r>
    </w:p>
    <w:p>
      <w:pPr>
        <w:spacing w:after="40"/>
      </w:pPr>
      <w:r>
        <w:t>☐ Show £700, £70 per lesson and Save £150 compared with individual lessons.</w:t>
      </w:r>
    </w:p>
    <w:p>
      <w:pPr>
        <w:spacing w:after="40"/>
      </w:pPr>
      <w:r>
        <w:t>☐ Remove old £65 and £600 references from all public copy and metadata.</w:t>
      </w:r>
    </w:p>
    <w:p>
      <w:pPr>
        <w:spacing w:after="40"/>
      </w:pPr>
      <w:r>
        <w:t>☐ Use honest enquiry wording. Keep direct single and block options.</w:t>
      </w:r>
    </w:p>
    <w:p>
      <w:pPr>
        <w:spacing w:after="40"/>
      </w:pPr>
      <w:r>
        <w:t>☐ Remove adjacent duplicate buttons that perform the same action.</w:t>
      </w:r>
    </w:p>
    <w:p>
      <w:pPr>
        <w:pStyle w:val="Heading2"/>
      </w:pPr>
      <w:r>
        <w:t>Mobile navigation</w:t>
      </w:r>
    </w:p>
    <w:p>
      <w:pPr>
        <w:spacing w:after="40"/>
      </w:pPr>
      <w:r>
        <w:t>☐ Fix contact.html first.</w:t>
      </w:r>
    </w:p>
    <w:p>
      <w:pPr>
        <w:spacing w:after="40"/>
      </w:pPr>
      <w:r>
        <w:t>☐ Use one compatible menu-button/menu-list pattern and shared handler.</w:t>
      </w:r>
    </w:p>
    <w:p>
      <w:pPr>
        <w:spacing w:after="40"/>
      </w:pPr>
      <w:r>
        <w:t>☐ Remove duplicate handlers; update aria-expanded; preserve keyboard focus.</w:t>
      </w:r>
    </w:p>
    <w:p>
      <w:pPr>
        <w:spacing w:after="40"/>
      </w:pPr>
      <w:r>
        <w:t>☐ Live-test mobile menus.</w:t>
      </w:r>
    </w:p>
    <w:p>
      <w:pPr>
        <w:pStyle w:val="Heading2"/>
      </w:pPr>
      <w:r>
        <w:t>Outcome-led sales and imagery</w:t>
      </w:r>
    </w:p>
    <w:p>
      <w:pPr>
        <w:spacing w:after="40"/>
      </w:pPr>
      <w:r>
        <w:t>☐ Sell confidence, pitch accuracy, range, breath control, technique, performance and personalised progress.</w:t>
      </w:r>
    </w:p>
    <w:p>
      <w:pPr>
        <w:spacing w:after="40"/>
      </w:pPr>
      <w:r>
        <w:t>☐ Homepage first screen: audience, outcome, trust and first step.</w:t>
      </w:r>
    </w:p>
    <w:p>
      <w:pPr>
        <w:spacing w:after="40"/>
      </w:pPr>
      <w:r>
        <w:t>☐ Use genuine existing images of Matt, teaching, mobile studio and lesson setup.</w:t>
      </w:r>
    </w:p>
    <w:p>
      <w:pPr>
        <w:spacing w:after="40"/>
      </w:pPr>
      <w:r>
        <w:t>☐ Use accurate alt text and avoid decorative clutter or unsupported claims.</w:t>
      </w:r>
    </w:p>
    <w:p>
      <w:r>
        <w:br w:type="page"/>
      </w:r>
    </w:p>
    <w:p>
      <w:pPr>
        <w:pStyle w:val="Heading1"/>
      </w:pPr>
      <w:r>
        <w:t>6. GA4 conversion tracking</w:t>
      </w:r>
    </w:p>
    <w:p>
      <w:pPr>
        <w:spacing w:after="40"/>
      </w:pPr>
      <w:r>
        <w:t>☐ Measurement ID: G-72QBZSZZBP.</w:t>
      </w:r>
    </w:p>
    <w:p>
      <w:pPr>
        <w:spacing w:after="40"/>
      </w:pPr>
      <w:r>
        <w:t>☐ Track assessment_enquiry_click, single_lesson_click, lesson_block_click, enquiry_form_view, click_email and click_phone.</w:t>
      </w:r>
    </w:p>
    <w:p>
      <w:pPr>
        <w:spacing w:after="40"/>
      </w:pPr>
      <w:r>
        <w:t>☐ community_signup only after successful sign-up.</w:t>
      </w:r>
    </w:p>
    <w:p>
      <w:pPr>
        <w:spacing w:after="40"/>
      </w:pPr>
      <w:r>
        <w:t>☐ generate_lead only after confirmed successful Jotform submission.</w:t>
      </w:r>
    </w:p>
    <w:p>
      <w:pPr>
        <w:spacing w:after="40"/>
      </w:pPr>
      <w:r>
        <w:t>☐ Never count a page view, CTA click or form start as a lead.</w:t>
      </w:r>
    </w:p>
    <w:p>
      <w:pPr>
        <w:spacing w:after="40"/>
      </w:pPr>
      <w:r>
        <w:t>☐ Add useful page_path, cta_text and selected_product parameters; prevent duplicates; respect consent.</w:t>
      </w:r>
    </w:p>
    <w:p>
      <w:pPr>
        <w:spacing w:after="40"/>
      </w:pPr>
      <w:r>
        <w:t>☐ If iframe restrictions prevent success detection, use a Jotform thank-you page or supported postMessage and document account steps.</w:t>
      </w:r>
    </w:p>
    <w:p>
      <w:pPr>
        <w:pStyle w:val="Heading1"/>
      </w:pPr>
      <w:r>
        <w:t>7. Technical and accessibility checks</w:t>
      </w:r>
    </w:p>
    <w:p>
      <w:pPr>
        <w:spacing w:after="40"/>
      </w:pPr>
      <w:r>
        <w:t>☐ Validate every modified HTML file.</w:t>
      </w:r>
    </w:p>
    <w:p>
      <w:pPr>
        <w:spacing w:after="40"/>
      </w:pPr>
      <w:r>
        <w:t>☐ One DOCTYPE, html, head and body; scripts before closing body.</w:t>
      </w:r>
    </w:p>
    <w:p>
      <w:pPr>
        <w:spacing w:after="40"/>
      </w:pPr>
      <w:r>
        <w:t>☐ No merge markers, duplicate closing tags or duplicated footer content.</w:t>
      </w:r>
    </w:p>
    <w:p>
      <w:pPr>
        <w:spacing w:after="40"/>
      </w:pPr>
      <w:r>
        <w:t>☐ Check links, paths, iframe titles, heading order, focus states, alt text, contrast and mobile overflow.</w:t>
      </w:r>
    </w:p>
    <w:p>
      <w:pPr>
        <w:spacing w:after="40"/>
      </w:pPr>
      <w:r>
        <w:t>☐ Review / and /index.html canonicalisation.</w:t>
      </w:r>
    </w:p>
    <w:p>
      <w:pPr>
        <w:spacing w:after="40"/>
      </w:pPr>
      <w:r>
        <w:t>☐ Perform three passes: implementation, repository-wide consistency and adversarial final audit.</w:t>
      </w:r>
    </w:p>
    <w:p>
      <w:pPr>
        <w:spacing w:after="40"/>
      </w:pPr>
      <w:r>
        <w:t>☐ Classify each result: Verified in source, Requires live test, Requires Jotform action, Requires GA4 action, or Not completed.</w:t>
      </w:r>
    </w:p>
    <w:p>
      <w:pPr>
        <w:pStyle w:val="Heading1"/>
      </w:pPr>
      <w:r>
        <w:t>8. ADHD-friendly master checklist</w:t>
      </w:r>
    </w:p>
    <w:p>
      <w:pPr>
        <w:spacing w:after="40"/>
      </w:pPr>
      <w:r>
        <w:t>☐ Unwanted enquiry-page branding removed</w:t>
      </w:r>
    </w:p>
    <w:p>
      <w:pPr>
        <w:spacing w:after="40"/>
      </w:pPr>
      <w:r>
        <w:t>☐ Actual inline Jotform visible</w:t>
      </w:r>
    </w:p>
    <w:p>
      <w:pPr>
        <w:spacing w:after="40"/>
      </w:pPr>
      <w:r>
        <w:t>☐ Test enquiry received</w:t>
      </w:r>
    </w:p>
    <w:p>
      <w:pPr>
        <w:spacing w:after="40"/>
      </w:pPr>
      <w:r>
        <w:t>☐ Pricing savings visible on homepage</w:t>
      </w:r>
    </w:p>
    <w:p>
      <w:pPr>
        <w:spacing w:after="40"/>
      </w:pPr>
      <w:r>
        <w:t>☐ Pricing savings visible on pricing page</w:t>
      </w:r>
    </w:p>
    <w:p>
      <w:pPr>
        <w:spacing w:after="40"/>
      </w:pPr>
      <w:r>
        <w:t>☐ Old £65/£600 removed</w:t>
      </w:r>
    </w:p>
    <w:p>
      <w:pPr>
        <w:spacing w:after="40"/>
      </w:pPr>
      <w:r>
        <w:t>☐ CTA wording consistent and accurate</w:t>
      </w:r>
    </w:p>
    <w:p>
      <w:pPr>
        <w:spacing w:after="40"/>
      </w:pPr>
      <w:r>
        <w:t>☐ Duplicate same-action CTAs removed</w:t>
      </w:r>
    </w:p>
    <w:p>
      <w:pPr>
        <w:spacing w:after="40"/>
      </w:pPr>
      <w:r>
        <w:t>☐ contact.html burger menu fixed</w:t>
      </w:r>
    </w:p>
    <w:p>
      <w:pPr>
        <w:spacing w:after="40"/>
      </w:pPr>
      <w:r>
        <w:t>☐ All mobile menus live-tested</w:t>
      </w:r>
    </w:p>
    <w:p>
      <w:pPr>
        <w:spacing w:after="40"/>
      </w:pPr>
      <w:r>
        <w:t>☐ Outcome messaging implemented</w:t>
      </w:r>
    </w:p>
    <w:p>
      <w:pPr>
        <w:spacing w:after="40"/>
      </w:pPr>
      <w:r>
        <w:t>☐ Genuine Matt imagery added consistently</w:t>
      </w:r>
    </w:p>
    <w:p>
      <w:pPr>
        <w:spacing w:after="40"/>
      </w:pPr>
      <w:r>
        <w:t>☐ GA4 events implemented</w:t>
      </w:r>
    </w:p>
    <w:p>
      <w:pPr>
        <w:spacing w:after="40"/>
      </w:pPr>
      <w:r>
        <w:t>☐ generate_lead verified after success</w:t>
      </w:r>
    </w:p>
    <w:p>
      <w:pPr>
        <w:spacing w:after="40"/>
      </w:pPr>
      <w:r>
        <w:t>☐ Community sign-up tracked</w:t>
      </w:r>
    </w:p>
    <w:p>
      <w:pPr>
        <w:spacing w:after="40"/>
      </w:pPr>
      <w:r>
        <w:t>☐ HTML validation passed</w:t>
      </w:r>
    </w:p>
    <w:p>
      <w:pPr>
        <w:spacing w:after="40"/>
      </w:pPr>
      <w:r>
        <w:t>☐ Broken-link/accessibility re-audit passed</w:t>
      </w:r>
    </w:p>
    <w:p>
      <w:pPr>
        <w:spacing w:after="40"/>
      </w:pPr>
      <w:r>
        <w:t>☐ Handover updated with commits/tests</w:t>
      </w:r>
    </w:p>
    <w:p>
      <w:pPr>
        <w:pStyle w:val="Heading1"/>
      </w:pPr>
      <w:r>
        <w:t>9. Start here in the new coding chat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1CC"/>
          </w:tcPr>
          <w:p>
            <w:r>
              <w:rPr>
                <w:b/>
              </w:rPr>
              <w:t>ATTACH THIS DOCUMENT AND THESE CURRENT RAW FILES</w:t>
            </w:r>
            <w:r>
              <w:br/>
              <w:t>enquiry.html, pricing.html, contact.html, index.html, assets/js/main.js, assets/css/style.css and assets/css/responsive.css. Correct the confirmed live defects first. Do not use old Copilot summaries or task IDs as evidence.</w:t>
            </w:r>
          </w:p>
        </w:tc>
      </w:tr>
    </w:tbl>
    <w:p>
      <w:pPr>
        <w:pStyle w:val="Heading1"/>
      </w:pPr>
      <w:r>
        <w:t>10. Operating rules</w:t>
      </w:r>
    </w:p>
    <w:p>
      <w:pPr>
        <w:spacing w:after="40"/>
      </w:pPr>
      <w:r>
        <w:t>☒ One active task or one approved batch at a time.</w:t>
      </w:r>
    </w:p>
    <w:p>
      <w:pPr>
        <w:spacing w:after="40"/>
      </w:pPr>
      <w:r>
        <w:t>☒ For approval screens: answer only APPROVE or DO NOT APPROVE, then one exact paste-ready command.</w:t>
      </w:r>
    </w:p>
    <w:p>
      <w:pPr>
        <w:spacing w:after="40"/>
      </w:pPr>
      <w:r>
        <w:t>☒ Code boxes are only for text Matt must paste into GitHub Copilot.</w:t>
      </w:r>
    </w:p>
    <w:p>
      <w:pPr>
        <w:spacing w:after="40"/>
      </w:pPr>
      <w:r>
        <w:t>☒ Never tell Matt to “take a breath”.</w:t>
      </w:r>
    </w:p>
    <w:p>
      <w:pPr>
        <w:spacing w:after="40"/>
      </w:pPr>
      <w:r>
        <w:t>☒ Avoid repeated research/planning when requirements are settled.</w:t>
      </w:r>
    </w:p>
    <w:p>
      <w:pPr>
        <w:spacing w:after="40"/>
      </w:pPr>
      <w:r>
        <w:t>☒ End every session by recording files, commits, live tests, blockers and one next task in this document.</w:t>
      </w:r>
    </w:p>
    <w:p>
      <w:pPr>
        <w:pStyle w:val="Heading1"/>
      </w:pPr>
      <w:r>
        <w:t>11. End-of-session update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376"/>
            <w:shd w:fill="2F3A4B"/>
          </w:tcPr>
          <w:p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7704"/>
            <w:shd w:fill="2F3A4B"/>
          </w:tcPr>
          <w:p>
            <w:r>
              <w:rPr>
                <w:b/>
                <w:color w:val="FFFFFF"/>
                <w:sz w:val="17"/>
              </w:rPr>
              <w:t>Record</w:t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>
              <w:rPr>
                <w:sz w:val="16"/>
              </w:rPr>
              <w:t>Date</w:t>
            </w:r>
          </w:p>
        </w:tc>
        <w:tc>
          <w:tcPr>
            <w:tcW w:type="dxa" w:w="7704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>
              <w:rPr>
                <w:sz w:val="16"/>
              </w:rPr>
              <w:t>Completed</w:t>
            </w:r>
          </w:p>
        </w:tc>
        <w:tc>
          <w:tcPr>
            <w:tcW w:type="dxa" w:w="7704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>
              <w:rPr>
                <w:sz w:val="16"/>
              </w:rPr>
              <w:t>Files changed</w:t>
            </w:r>
          </w:p>
        </w:tc>
        <w:tc>
          <w:tcPr>
            <w:tcW w:type="dxa" w:w="7704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>
              <w:rPr>
                <w:sz w:val="16"/>
              </w:rPr>
              <w:t>Commit SHA(s)</w:t>
            </w:r>
          </w:p>
        </w:tc>
        <w:tc>
          <w:tcPr>
            <w:tcW w:type="dxa" w:w="7704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>
              <w:rPr>
                <w:sz w:val="16"/>
              </w:rPr>
              <w:t>Live tests</w:t>
            </w:r>
          </w:p>
        </w:tc>
        <w:tc>
          <w:tcPr>
            <w:tcW w:type="dxa" w:w="7704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>
              <w:rPr>
                <w:sz w:val="16"/>
              </w:rPr>
              <w:t>Jotform/GA4 actions</w:t>
            </w:r>
          </w:p>
        </w:tc>
        <w:tc>
          <w:tcPr>
            <w:tcW w:type="dxa" w:w="7704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>
              <w:rPr>
                <w:sz w:val="16"/>
              </w:rPr>
              <w:t>Remaining defects</w:t>
            </w:r>
          </w:p>
        </w:tc>
        <w:tc>
          <w:tcPr>
            <w:tcW w:type="dxa" w:w="7704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  <w:tr>
        <w:tc>
          <w:tcPr>
            <w:tcW w:type="dxa" w:w="2376"/>
          </w:tcPr>
          <w:p>
            <w:pPr>
              <w:spacing w:after="0"/>
            </w:pPr>
            <w:r>
              <w:rPr>
                <w:sz w:val="16"/>
              </w:rPr>
              <w:t>Single next task</w:t>
            </w:r>
          </w:p>
        </w:tc>
        <w:tc>
          <w:tcPr>
            <w:tcW w:type="dxa" w:w="7704"/>
          </w:tcPr>
          <w:p>
            <w:pPr>
              <w:spacing w:after="0"/>
            </w:pPr>
            <w:r>
              <w:rPr>
                <w:sz w:val="16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Sing The Easy Way | Website Project Handover | 15 September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DF522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7314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DF522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Sing The Easy Way Website Project Handover</dc:title>
  <dc:subject/>
  <dc:creator>Matt Thompson</dc:creator>
  <keywords/>
  <dc:description>generated by python-docx</dc:description>
  <lastModifiedBy>Matt Thompson</lastModifiedBy>
  <revision>1</revision>
  <dcterms:created xsi:type="dcterms:W3CDTF">2026-09-15T19:24:25.1863640Z</dcterms:created>
  <dcterms:modified xsi:type="dcterms:W3CDTF">2026-09-15T19:24:25.1863640Z</dcterms:modified>
  <category/>
</coreProperties>
</file>