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pStyle w:val="Title"/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URBANCARE</w:t>
      </w:r>
    </w:p>
    <w:p>
      <w:pPr>
        <w:spacing w:after="180"/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Analisi SEO GEO AEO</w:t>
      </w:r>
    </w:p>
    <w:p>
      <w:pPr>
        <w:spacing w:after="650"/>
        <w:jc w:val="center"/>
      </w:pPr>
      <w:r>
        <w:rPr>
          <w:color w:val="475569"/>
          <w:sz w:val="22"/>
          <w:szCs w:val="22"/>
        </w:rPr>
        <w:t xml:space="preserve">FULL AUDIT  ·  18 OTTOBRE 2026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</w:t>
            </w:r>
          </w:p>
        </w:tc>
        <w:tc>
          <w:tcPr>
            <w:tcW w:type="dxa" w:w="312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GEO</w:t>
            </w:r>
          </w:p>
        </w:tc>
        <w:tc>
          <w:tcPr>
            <w:tcW w:type="dxa" w:w="312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AEO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 / 10</w:t>
            </w:r>
          </w:p>
        </w:tc>
        <w:tc>
          <w:tcPr>
            <w:tcW w:type="dxa" w:w="312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/ 10</w:t>
            </w:r>
          </w:p>
        </w:tc>
        <w:tc>
          <w:tcPr>
            <w:tcW w:type="dxa" w:w="312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/ 10</w:t>
            </w:r>
          </w:p>
        </w:tc>
      </w:tr>
    </w:tbl>
    <w:p>
      <w:pPr>
        <w:spacing w:after="500" w:before="16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Valutazione del sito pubblico</w:t>
      </w:r>
    </w:p>
    <w:p>
      <w:pPr>
        <w:spacing w:after="140" w:line="27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Domanda Google Ads e confronto tra sito pubblico e rework locale</w:t>
      </w:r>
    </w:p>
    <w:p>
      <w:pPr>
        <w:spacing w:after="140" w:line="27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urbancare-amministrazioni.com</w:t>
      </w:r>
    </w:p>
    <w:p>
      <w:pPr>
        <w:spacing w:after="650"/>
      </w:pPr>
    </w:p>
    <w:p>
      <w:pPr>
        <w:spacing w:after="140" w:line="27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base tecnica regge. Le priorità sono pubblicare il rework verificato e rispondere meglio a preventivo, costi e cambio amministratore.</w:t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 completo e piano operativo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Sintesi e decisioni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UrbanCare dispone di una buona base tecnica, ma il sito pubblico è ancora la versione precedente. Il progetto locale prepara già il posizionamento su Garbagnate Milanese, il blog e un grafo di entità più coerente. La leva principale è portare online questa base dopo la verifica del rilascio, poi sviluppare risposte utili su preventivo, costi e cambio amministratore.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50"/>
        <w:gridCol w:w="1050"/>
        <w:gridCol w:w="1500"/>
        <w:gridCol w:w="5360"/>
      </w:tblGrid>
      <w:tr>
        <w:trPr>
          <w:cantSplit/>
          <w:tblHeader/>
        </w:trPr>
        <w:tc>
          <w:tcPr>
            <w:tcW w:type="dxa" w:w="14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Dimensione</w:t>
            </w:r>
          </w:p>
        </w:tc>
        <w:tc>
          <w:tcPr>
            <w:tcW w:type="dxa" w:w="10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Pubblico</w:t>
            </w:r>
          </w:p>
        </w:tc>
        <w:tc>
          <w:tcPr>
            <w:tcW w:type="dxa" w:w="15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Rework locale</w:t>
            </w:r>
          </w:p>
        </w:tc>
        <w:tc>
          <w:tcPr>
            <w:tcW w:type="dxa" w:w="53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Valutazione</w:t>
            </w:r>
          </w:p>
        </w:tc>
      </w:tr>
      <w:tr>
        <w:trPr>
          <w:cantSplit/>
          <w:tblHeader w:val="false"/>
        </w:trPr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05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6/10</w:t>
            </w:r>
          </w:p>
        </w:tc>
        <w:tc>
          <w:tcPr>
            <w:tcW w:type="dxa" w:w="150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8/10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 tecnica buona; focus locale più forte nel rework.</w:t>
            </w:r>
          </w:p>
        </w:tc>
      </w:tr>
      <w:tr>
        <w:trPr>
          <w:cantSplit/>
          <w:tblHeader w:val="false"/>
        </w:trPr>
        <w:tc>
          <w:tcPr>
            <w:tcW w:type="dxa" w:w="14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05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5/10</w:t>
            </w:r>
          </w:p>
        </w:tc>
        <w:tc>
          <w:tcPr>
            <w:tcW w:type="dxa" w:w="150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7/10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Identità chiara; prove, fonti e coerenza da rafforzare.</w:t>
            </w:r>
          </w:p>
        </w:tc>
      </w:tr>
      <w:tr>
        <w:trPr>
          <w:cantSplit/>
          <w:tblHeader w:val="false"/>
        </w:trPr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AEO</w:t>
            </w:r>
          </w:p>
        </w:tc>
        <w:tc>
          <w:tcPr>
            <w:tcW w:type="dxa" w:w="105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4/10</w:t>
            </w:r>
          </w:p>
        </w:tc>
        <w:tc>
          <w:tcPr>
            <w:tcW w:type="dxa" w:w="1500"/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6/10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Definizioni e liste presenti; domande commerciali poco coperte.</w:t>
            </w:r>
          </w:p>
        </w:tc>
      </w:tr>
      <w:tr>
        <w:trPr>
          <w:cantSplit/>
          <w:tblHeader w:val="false"/>
        </w:trPr>
        <w:tc>
          <w:tcPr>
            <w:tcW w:type="dxa" w:w="14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Totale</w:t>
            </w:r>
          </w:p>
        </w:tc>
        <w:tc>
          <w:tcPr>
            <w:tcW w:type="dxa" w:w="1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15/30</w:t>
            </w:r>
          </w:p>
        </w:tc>
        <w:tc>
          <w:tcPr>
            <w:tcW w:type="dxa" w:w="1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21/30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Giudizio editoriale, non misura delle classifiche.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Le tre priorità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Allineare il sito pubblico al rework verificato. /blog e /zone-servite rispondono 404 online, pur essendo già presenti nel build locale. Non serve ricrearli.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Sviluppare il percorso di richiesta preventivo in /contatti e il contenuto sul cambio amministratore. Nel rework /preventivo è un redirect permanente previsto dalla configurazione, non una pagina da riempire.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Rafforzare l’affidabilità: uniformare le promesse sul portale, aggiungere fonti agli articoli e pubblicare qualifiche, casi e recensioni soltanto se verificati e autorizzati.</w:t>
      </w:r>
    </w:p>
    <w:p>
      <w:pPr>
        <w:pStyle w:val="Heading2"/>
        <w:spacing w:after="120" w:before="160"/>
      </w:pPr>
      <w:r>
        <w:t xml:space="preserve">Il punto di forza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metodo di presa in carico è già spiegato e attribuito a Noele Romano. Il rework aggiunge contenuto disponibile nell’HTML, collegamenti tra servizi, canonical e identità Organization/Person coerenti.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Ambito: Full Audit con le skill ai-seo e seo-geo-aeo. Nessuna modifica al sito, al CMS o alle campagne. Le raccomandazioni sono pronte per una successiva implementazione.</w:t>
      </w:r>
    </w:p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1100" w:right="1440" w:bottom="1100" w:left="1440" w:header="708" w:footer="708" w:gutter="0"/>
          <w:pgNumType w:start="1"/>
          <w:docGrid w:linePitch="360"/>
        </w:sectPr>
      </w:pPr>
    </w:p>
    <w:p>
      <w:pPr>
        <w:pStyle w:val="Heading1"/>
        <w:spacing w:after="230"/>
      </w:pPr>
      <w:r>
        <w:t xml:space="preserve">Domanda di ricerca e priorità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Sono stati esportati due dataset da 687 keyword ciascuno dal Google Keyword Planner: Italia e Città metropolitana di Milano. Lingua Italian, rete Google, periodo 1 ottobre 2025 - 30 settembre 2026. I due set sono confronti geografici delle stesse idee, non 1.374 opportunità distinte.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260"/>
        <w:gridCol w:w="2050"/>
        <w:gridCol w:w="2050"/>
      </w:tblGrid>
      <w:tr>
        <w:trPr>
          <w:cantSplit/>
          <w:tblHeader/>
        </w:trPr>
        <w:tc>
          <w:tcPr>
            <w:tcW w:type="dxa" w:w="52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20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Italia al mese</w:t>
            </w:r>
          </w:p>
        </w:tc>
        <w:tc>
          <w:tcPr>
            <w:tcW w:type="dxa" w:w="20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Milano al mese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amministratore di condominio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10.000-100.000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1.000-10.000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amministrazione condominiale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1.000-10.000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1.000-10.000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amministratore condominio Garbagnate Milanese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amministratore condominio Arese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amministratore condominio Cesate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amministratore condominio Milano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amministratori di condominio vicino a me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preventivo amministratore condominio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cambio amministratore condominio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costi amministratore condominio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  <w:tc>
          <w:tcPr>
            <w:tcW w:type="dxa" w:w="20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  <w:tr>
        <w:trPr>
          <w:cantSplit/>
          <w:tblHeader w:val="false"/>
        </w:trPr>
        <w:tc>
          <w:tcPr>
            <w:tcW w:type="dxa" w:w="5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consulenza condominiale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100-1.000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10-100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Come leggere i numeri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UI mostra fasce. Il CSV usa valori rappresentativi come 50, 500 e 5.000: non vengono trattati come conteggi puntuali. Le fasce del confronto sono ricondotte alla scala osservata nella UI. Le varianti strette possono sovrapporsi: non sommarle. La concorrenza indica competizione tra inserzionisti, non difficoltà SEO [S1].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“preventivo amministratore condominio”, l’offerta Italia per la parte superiore della pagina è 0,80-5,49 €. È un indizio commerciale, non un CPC garantito o una previsione di conversione. “Consulenza gratuita”, software, portali e brand possono avere intento inadatto.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Sì, partire dalle keyword ha senso: la scelta finale combina servizio, territorio, intenzione e capacità di rispondere. Milano è un confronto di bacino; non misura la domanda dei soli sette comuni prioritari. Lainate, Bollate, Senago e Caronno richiedono un set esplicito aggiuntivo: la loro assenza nelle idee non dimostra volume zero.</w:t>
      </w:r>
    </w:p>
    <w:p>
      <w:pPr>
        <w:sectPr>
          <w:headerReference w:type="default" r:id="rId9"/>
          <w:footerReference w:type="default" r:id="rId10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Pagine pubbliche esaminate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Crawl completo dei collegamenti interni e delle 10 URL nella sitemap pubblica: 9 pagine commerciali o istituzionali più la privacy, verificata per coerenza dei recapiti. Non risultano altri articoli o pagine informative nei percorsi scoperti. Il dominio di tutte le route sotto elencate è https://www.urbancare-amministrazioni.com.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000"/>
        <w:gridCol w:w="900"/>
        <w:gridCol w:w="4460"/>
      </w:tblGrid>
      <w:tr>
        <w:trPr>
          <w:cantSplit/>
          <w:tblHeader/>
        </w:trPr>
        <w:tc>
          <w:tcPr>
            <w:tcW w:type="dxa" w:w="40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Percorso</w:t>
            </w:r>
          </w:p>
        </w:tc>
        <w:tc>
          <w:tcPr>
            <w:tcW w:type="dxa" w:w="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dxa" w:w="44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Osservazione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 orientato a Milano; schema ProfessionalService.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/contatti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Canonical, un H1 e schema presenti; contenuto sintetico.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Indice di quattro servizi.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/lo-studio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Biografia e metodo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/preventivo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Pagina autonoma, modulo e breve introduzione.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/servizi/condominio-online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Canonical, un H1 e schema presenti; contenuto sintetico.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/servizi/amministrazione-condominiale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Canonical, un H1 e schema presenti; contenuto sintetico.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/servizi/consulenza-condominiale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Canonical, un H1 e schema presenti; contenuto sintetico.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/servizi/gestione-contabile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Canonical, un H1 e schema presenti; contenuto sintetico.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/privacy-policy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44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Controllata per identità e recapiti; esclusa dal giudizio editoriale.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File tecnici e verifiche di esistenza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900"/>
        <w:gridCol w:w="6260"/>
      </w:tblGrid>
      <w:tr>
        <w:trPr>
          <w:cantSplit/>
          <w:tblHeader/>
        </w:trPr>
        <w:tc>
          <w:tcPr>
            <w:tcW w:type="dxa" w:w="22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Percorso</w:t>
            </w:r>
          </w:p>
        </w:tc>
        <w:tc>
          <w:tcPr>
            <w:tcW w:type="dxa" w:w="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62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Riscontro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/robots.txt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Consente la scansione a tutti; sitemap dichiarata.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/sitemap.xml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6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XML leggibile; 10 URL pubbliche.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/blog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404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 pubblicato sul dominio al momento del crawl.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/zone-servite</w:t>
            </w:r>
          </w:p>
        </w:tc>
        <w:tc>
          <w:tcPr>
            <w:tcW w:type="dxa" w:w="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404</w:t>
            </w:r>
          </w:p>
        </w:tc>
        <w:tc>
          <w:tcPr>
            <w:tcW w:type="dxa" w:w="6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 pubblicata sul dominio al momento del crawl.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/llms.txt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404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opzionale assente; non blocca Google.</w:t>
            </w:r>
          </w:p>
        </w:tc>
      </w:tr>
    </w:tbl>
    <w:p>
      <w:pPr>
        <w:spacing w:after="70"/>
      </w:pP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404 aggiuntivi sono controlli sulle route note del progetto e sul file opzionale, non link rotti rilevati nella navigazione pubblica. La sitemap pubblica usa la stessa lastmod del 29 maggio 2026 per tutte le URL: non è stata verificata la corrispondenza con modifiche effettive.</w:t>
      </w:r>
    </w:p>
    <w:p>
      <w:pPr>
        <w:sectPr>
          <w:headerReference w:type="default" r:id="rId11"/>
          <w:footerReference w:type="default" r:id="rId12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Rework locale e differenze dal pubblico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Esaminati 13 file HTML del build disponibile, datati 15 ottobre 2026: 11 pagine di contenuto, privacy e artefatto /preventivo. È uno snapshot locale, non un nuovo build e non prova di ciò che è stato distribuito. Letti anche sorgenti, configurazione e documentazione SEO.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Percorso locale</w:t>
            </w:r>
          </w:p>
        </w:tc>
        <w:tc>
          <w:tcPr>
            <w:tcW w:type="dxa" w:w="53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Miglioramento o nota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/blog/millesimi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Articolo con autore, data, BlogPosting e breadcrumb.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/blog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Indice SSR con un articolo nel build osservato.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/contatti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Contatti e preventivo nella stessa pagina.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Metadata, contenuti locali e grafo Organization/Person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/lo-studio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Biografia con esperienza dal 2020 e attività dal 2024.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/privacy-policy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Presente; verifica dei recapiti.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/servizi/amministrazione-condominiale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Metadata, contenuti locali e grafo Organization/Person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/servizi/condominio-online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Metadata, contenuti locali e grafo Organization/Person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/servizi/consulenza-condominiale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Metadata, contenuti locali e grafo Organization/Person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/servizi/gestione-contabile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Metadata, contenuti locali e grafo Organization/Person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Metadata, contenuti locali e grafo Organization/Person presenti.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/zone-servite</w:t>
            </w:r>
          </w:p>
        </w:tc>
        <w:tc>
          <w:tcPr>
            <w:tcW w:type="dxa" w:w="5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Sette comuni dichiarati; pagina unica senza duplicati locali.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Il caso preventivo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next.config.ts definisce /preventivo → /contatti#preventivo con redirect permanente. L’HTML residuo di /preventivo non ha H1, ma non viene classificato come pagina pubblica povera: prevale la configurazione di redirect. In produzione va verificato lo stato 308 e l’apertura della sezione corretta. La prima mappa keyword suggeriva /preventivo prima dell’ispezione tecnica; l’assegnazione finale è /contatti#preventivo.</w:t>
      </w:r>
    </w:p>
    <w:p>
      <w:pPr>
        <w:pStyle w:val="Heading2"/>
        <w:spacing w:after="120" w:before="160"/>
      </w:pPr>
      <w:r>
        <w:t xml:space="preserve">Controlli eseguiti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Passano scripts/test-seo.ts e scripts/test-seo-build.ts tramite node --import tsx. Verificano metadata, grafo, un H1/main sulle pagine previste, link, copertine e articolo del build. Il comando tsx diretto era bloccato dal socket IPC della sandbox; il caricamento con Node ha completato entrambi i controlli. Nessun test attesta ranking o conversioni.</w:t>
      </w:r>
    </w:p>
    <w:p>
      <w:pPr>
        <w:sectPr>
          <w:headerReference w:type="default" r:id="rId13"/>
          <w:footerReference w:type="default" r:id="rId14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SEO tecnico e dati strutturati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50"/>
        <w:gridCol w:w="6360"/>
        <w:gridCol w:w="1250"/>
      </w:tblGrid>
      <w:tr>
        <w:trPr>
          <w:cantSplit/>
          <w:tblHeader/>
        </w:trPr>
        <w:tc>
          <w:tcPr>
            <w:tcW w:type="dxa" w:w="17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Segnale</w:t>
            </w:r>
          </w:p>
        </w:tc>
        <w:tc>
          <w:tcPr>
            <w:tcW w:type="dxa" w:w="63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Riscontro</w:t>
            </w:r>
          </w:p>
        </w:tc>
        <w:tc>
          <w:tcPr>
            <w:tcW w:type="dxa" w:w="12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 e description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Presenti e distinti sulle 10 URL live; “Contatti | Urbancare” è poco descrittivo. Il rework lo migliora.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e gerarchia</w:t>
            </w:r>
          </w:p>
        </w:tc>
        <w:tc>
          <w:tcPr>
            <w:tcW w:type="dxa" w:w="6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 H1 in ciascuna pagina live. Alcuni sottotitoli sono ripetuti nelle pagine servizi live.</w:t>
            </w:r>
          </w:p>
        </w:tc>
        <w:tc>
          <w:tcPr>
            <w:tcW w:type="dxa" w:w="1250"/>
            <w:shd w:fill="FFFBE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affinare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 e robots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 coerenti e index, follow sulle 10 URL live. I 404 hanno noindex.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Viewport e lingua</w:t>
            </w:r>
          </w:p>
        </w:tc>
        <w:tc>
          <w:tcPr>
            <w:tcW w:type="dxa" w:w="6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Viewport presente; contenuti in italiano.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URL e link interni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Route leggibili; servizi raggiungibili da home e indice. Nessun errore sulle URL della sitemap.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Immagini e social</w:t>
            </w:r>
          </w:p>
        </w:tc>
        <w:tc>
          <w:tcPr>
            <w:tcW w:type="dxa" w:w="6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 presenti; un alt vuoto in home da valutare come decorativo. OG e Twitter presenti.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Robots e sitemap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Entrambi 200; 10 URL live. Il rework esclude /admin e /api e aggiunge blog e zone.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JSON-LD live</w:t>
            </w:r>
          </w:p>
        </w:tc>
        <w:tc>
          <w:tcPr>
            <w:tcW w:type="dxa" w:w="63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Tipi specifici per pagina e Service; nessun errore di parsing JSON nei documenti osservati.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Identità nel rework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Organization, Person, WebSite, Service e BreadcrumbList collegati con @id.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Limiti e rifiniture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Nessun test Rich Results o validatore semantico esterno è stato eseguito: JSON sintatticamente leggibile non significa idoneità a un risultato avanzato. Il live descrive ProfessionalService con sola località e senza via; il rework sceglie Organization per non inventare una sede. Non aggiungere un indirizzo fittizio.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lunghezza dei title locali varia: home e amministrazione circa 62 caratteri, studio 68. È una verifica di resa, non un errore automatico. Lo stesso vale per description più brevi di 150 caratteri: meglio chiarezza e pertinenza rispetto a riempire una quota.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Web Vitals, velocità reale, indicizzazione Google, canonical scelto dal motore e comportamento mobile non sono misurati da questo crawl. Servono Search Console, PageSpeed/CrUX e un controllo visuale. Non viene attribuito un voto prestazionale inventato.</w:t>
      </w:r>
    </w:p>
    <w:p>
      <w:pPr>
        <w:sectPr>
          <w:headerReference w:type="default" r:id="rId15"/>
          <w:footerReference w:type="default" r:id="rId16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SEO dei contenuti e mappa finale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pagine servizi pubbliche contengono spiegazioni brevi: circa 77-135 parole estratte nel contenuto principale. Il rework le amplia a circa 189-309. I conteggi sono indicativi perché markup, elementi nascosti e parole adiacenti influenzano l’estrazione. Non esiste qui una soglia minima di parole usata come fattore di ranking.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00"/>
        <w:gridCol w:w="3000"/>
        <w:gridCol w:w="3860"/>
      </w:tblGrid>
      <w:tr>
        <w:trPr>
          <w:cantSplit/>
          <w:tblHeader/>
        </w:trPr>
        <w:tc>
          <w:tcPr>
            <w:tcW w:type="dxa" w:w="25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Intenzione</w:t>
            </w:r>
          </w:p>
        </w:tc>
        <w:tc>
          <w:tcPr>
            <w:tcW w:type="dxa" w:w="30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Pagina proprietaria</w:t>
            </w:r>
          </w:p>
        </w:tc>
        <w:tc>
          <w:tcPr>
            <w:tcW w:type="dxa" w:w="38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Intervento utile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Scegliere un amministratore locale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Consolidare Garbagnate, destinatari, metodo e invito al contatto.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Capire il servizio</w:t>
            </w:r>
          </w:p>
        </w:tc>
        <w:tc>
          <w:tcPr>
            <w:tcW w:type="dxa" w:w="3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/servizi/amministrazione-condominiale</w:t>
            </w:r>
          </w:p>
        </w:tc>
        <w:tc>
          <w:tcPr>
            <w:tcW w:type="dxa" w:w="38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Distinguere attività, presa in carico e casi di utilizzo.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Richiedere una proposta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/contatti#preventivo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Spiegare dati richiesti, proposta e fattori del compenso.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Cambiare amministratore</w:t>
            </w:r>
          </w:p>
        </w:tc>
        <w:tc>
          <w:tcPr>
            <w:tcW w:type="dxa" w:w="3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Servizio amministrazione + futura guida</w:t>
            </w:r>
          </w:p>
        </w:tc>
        <w:tc>
          <w:tcPr>
            <w:tcW w:type="dxa" w:w="38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Già presente un blocco nel rework; approfondire il percorso nella guida.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Capire i costi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Futura guida costi + /contatti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Spiegare fattori e voci; niente tariffari inventati.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Capire spese e rendiconto</w:t>
            </w:r>
          </w:p>
        </w:tc>
        <w:tc>
          <w:tcPr>
            <w:tcW w:type="dxa" w:w="3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/servizi/gestione-contabile + blog</w:t>
            </w:r>
          </w:p>
        </w:tc>
        <w:tc>
          <w:tcPr>
            <w:tcW w:type="dxa" w:w="38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Esempi illustrativi, documenti e distinzioni tra criteri.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Verificare la copertura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/zone-servite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Una pagina con comuni reali e modalità di presa in carico.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Accedere al portale</w:t>
            </w:r>
          </w:p>
        </w:tc>
        <w:tc>
          <w:tcPr>
            <w:tcW w:type="dxa" w:w="30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/servizi/condominio-online</w:t>
            </w:r>
          </w:p>
        </w:tc>
        <w:tc>
          <w:tcPr>
            <w:tcW w:type="dxa" w:w="38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Servizio per condomini già amministrati; separare dall’acquisizione.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Copertura e sovrapposizioni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Home e pagina amministrazione possono convivere: la prima orienta la scelta dello studio, la seconda chiarisce il servizio. Senza dati Search Console non si può diagnosticare cannibalizzazione. L’indice /servizi può restare breve se porta bene alle quattro pagine di dettaglio.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build contiene un articolo sui millesimi, già attribuito a Noele Romano e collegato alla contabilità. Non risultano guide dedicate a costi e cambio nel build esaminato. I dati dimostrativi nel repository non sono conteggiati come articoli pubblicati; le bozze non vanno pubblicate automaticamente.</w:t>
      </w:r>
    </w:p>
    <w:p>
      <w:pPr>
        <w:sectPr>
          <w:headerReference w:type="default" r:id="rId17"/>
          <w:footerReference w:type="default" r:id="rId18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GEO e affidabilità delle informazioni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50"/>
        <w:gridCol w:w="6160"/>
        <w:gridCol w:w="1250"/>
      </w:tblGrid>
      <w:tr>
        <w:trPr>
          <w:cantSplit/>
          <w:tblHeader/>
        </w:trPr>
        <w:tc>
          <w:tcPr>
            <w:tcW w:type="dxa" w:w="19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Segnale</w:t>
            </w:r>
          </w:p>
        </w:tc>
        <w:tc>
          <w:tcPr>
            <w:tcW w:type="dxa" w:w="61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Evidenza e conseguenza</w:t>
            </w:r>
          </w:p>
        </w:tc>
        <w:tc>
          <w:tcPr>
            <w:tcW w:type="dxa" w:w="12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Identità del professionista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Noele Romano è nominato, con biografia e cronologia dell’esperienza.</w:t>
            </w:r>
          </w:p>
        </w:tc>
        <w:tc>
          <w:tcPr>
            <w:tcW w:type="dxa" w:w="1250"/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Buono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Qualifiche verificabili</w:t>
            </w:r>
          </w:p>
        </w:tc>
        <w:tc>
          <w:tcPr>
            <w:tcW w:type="dxa" w:w="61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 rilevate attestazioni formative dettagliate o iscrizioni documentate nei testi esaminati. Chiedere evidenze reali prima di pubblicarle.</w:t>
            </w:r>
          </w:p>
        </w:tc>
        <w:tc>
          <w:tcPr>
            <w:tcW w:type="dxa" w:w="1250"/>
            <w:shd w:fill="FFFBE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ampliare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Fonti degli articoli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L’articolo locale sui millesimi non collega fonti normative primarie.</w:t>
            </w:r>
          </w:p>
        </w:tc>
        <w:tc>
          <w:tcPr>
            <w:tcW w:type="dxa" w:w="1250"/>
            <w:shd w:fill="FFFBE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ampliare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Prove di esperienza</w:t>
            </w:r>
          </w:p>
        </w:tc>
        <w:tc>
          <w:tcPr>
            <w:tcW w:type="dxa" w:w="61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Metodo descritto; non rilevati casi documentati o testimonianze verificabili nelle pagine esaminate.</w:t>
            </w:r>
          </w:p>
        </w:tc>
        <w:tc>
          <w:tcPr>
            <w:tcW w:type="dxa" w:w="1250"/>
            <w:shd w:fill="FFFBE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ampliare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Coerenza dei contatti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Telefono coerente; email live Gmail e dominio nel rework. Confermare il recapito operativo prima del rilascio.</w:t>
            </w:r>
          </w:p>
        </w:tc>
        <w:tc>
          <w:tcPr>
            <w:tcW w:type="dxa" w:w="1250"/>
            <w:shd w:fill="FFFBE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verificare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Entità collegate</w:t>
            </w:r>
          </w:p>
        </w:tc>
        <w:tc>
          <w:tcPr>
            <w:tcW w:type="dxa" w:w="61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Grafo locale collega studio, autore e servizi; non rilevati sameAs a profili ufficiali.</w:t>
            </w:r>
          </w:p>
        </w:tc>
        <w:tc>
          <w:tcPr>
            <w:tcW w:type="dxa" w:w="1250"/>
            <w:shd w:fill="FFFBE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ampliare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Una contraddizione da correggere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Nel rework /servizi/condominio-online promette rate e comunicazioni. /lo-studio conserva invece la frase “Digitalizziamo tutta la contabilità e la documentazione condominiale, rendendola accessibile online ai condomini”. Il live promette anche documenti e bilanci. Allineare ogni pagina alle funzioni effettivamente confermate del portale.</w:t>
      </w:r>
    </w:p>
    <w:p>
      <w:pPr>
        <w:pStyle w:val="Heading2"/>
        <w:spacing w:after="120" w:before="160"/>
      </w:pPr>
      <w:r>
        <w:t xml:space="preserve">Cosa rende il sito citabile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Aggiungere risposte attribuite, fonti primarie accanto alle affermazioni normative, esempi originali dichiarati come illustrativi e date di revisione solo quando avviene una revisione reale. Il disclaimer dell’articolo è utile ma non sostituisce l’accuratezza. Le regole sui riparti vanno validate dal professionista prima di ampliare il testo.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 inventare recensioni, quantità di condomini gestiti, tempi medi o garanzie di reperibilità. Le prove pubblicabili possono essere un caso anonimizzato con problema, intervento e risultato documentato. Nessuna percentuale di aumento delle citazioni è promessa.</w:t>
      </w:r>
    </w:p>
    <w:p>
      <w:pPr>
        <w:sectPr>
          <w:headerReference w:type="default" r:id="rId19"/>
          <w:footerReference w:type="default" r:id="rId20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AEO e risposte alle domande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base esiste: amministrazione e consulenza hanno definizioni, i servizi usano liste e l’articolo sui millesimi contiene sezioni esplicative. Manca soprattutto una copertura diretta delle domande che precedono il contatto.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3700"/>
        <w:gridCol w:w="3760"/>
      </w:tblGrid>
      <w:tr>
        <w:trPr>
          <w:cantSplit/>
          <w:tblHeader/>
        </w:trPr>
        <w:tc>
          <w:tcPr>
            <w:tcW w:type="dxa" w:w="1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Segnale</w:t>
            </w:r>
          </w:p>
        </w:tc>
        <w:tc>
          <w:tcPr>
            <w:tcW w:type="dxa" w:w="37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Valutazione</w:t>
            </w:r>
          </w:p>
        </w:tc>
        <w:tc>
          <w:tcPr>
            <w:tcW w:type="dxa" w:w="37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Azione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Risposte brevi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Definizioni presenti; poche domande commerciali esplicite.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Rispondere subito e approfondire nel seguito.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Passaggi ordinati</w:t>
            </w:r>
          </w:p>
        </w:tc>
        <w:tc>
          <w:tcPr>
            <w:tcW w:type="dxa" w:w="37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Metodo in quattro fasi già visibile.</w:t>
            </w:r>
          </w:p>
        </w:tc>
        <w:tc>
          <w:tcPr>
            <w:tcW w:type="dxa" w:w="37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Spiegare cosa succede nella richiesta e nella presa in carico.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Domande frequenti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Nessun blocco FAQ dedicato rilevato nei contenuti esaminati.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Aggiungere domande reali su preventivo, cambio e portale.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Tabelle comparative</w:t>
            </w:r>
          </w:p>
        </w:tc>
        <w:tc>
          <w:tcPr>
            <w:tcW w:type="dxa" w:w="37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Nessuna tabella di contenuto rilevata.</w:t>
            </w:r>
          </w:p>
        </w:tc>
        <w:tc>
          <w:tcPr>
            <w:tcW w:type="dxa" w:w="37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Usarle solo se chiariscono differenze o voci della proposta.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Linguaggio e località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Italiano naturale; rework preciso sui comuni.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Mantenere riferimenti utili senza ripetere keyword.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FAQPage e HowTo</w:t>
            </w:r>
          </w:p>
        </w:tc>
        <w:tc>
          <w:tcPr>
            <w:tcW w:type="dxa" w:w="37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 rilevati, ma non sono una priorità per rich result.</w:t>
            </w:r>
          </w:p>
        </w:tc>
        <w:tc>
          <w:tcPr>
            <w:tcW w:type="dxa" w:w="37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Valutare markup solo coerente con contenuti visibili.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Esempi di domande da coprire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Come si richiede un preventivo per il condominio? Quali informazioni servono? Da cosa dipende il compenso? Come si avvia il passaggio a un nuovo amministratore? In quali comuni opera Urbancare? Cosa posso consultare nell’area personale? Chi contatto per una segnalazione?</w:t>
      </w:r>
    </w:p>
    <w:p>
      <w:pPr>
        <w:pStyle w:val="Heading2"/>
        <w:spacing w:after="120" w:before="160"/>
      </w:pPr>
      <w:r>
        <w:t xml:space="preserve">Indicazioni aggiornate rispetto alle skill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ha rimosso la documentazione FAQ rich result a giugno 2026 dopo il ritiro della funzione [S4]. Non viene raccomandato FAQPage per ottenere un’espansione in SERP. HowTo e Speakable non sono aggiunte obbligatorie per questo studio.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risposte devono essere comprensibili e complete. I 40-60 vocaboli suggeriti dalle skill sono un esercizio editoriale, non una quota tecnica né un requisito Google. Non frammentare artificialmente pagine utili per inseguire un formato [S2, S3].</w:t>
      </w:r>
    </w:p>
    <w:p>
      <w:pPr>
        <w:sectPr>
          <w:headerReference w:type="default" r:id="rId21"/>
          <w:footerReference w:type="default" r:id="rId22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AI SEO accesso e presenza locale</w:t>
      </w:r>
    </w:p>
    <w:p>
      <w:pPr>
        <w:pStyle w:val="Heading2"/>
        <w:spacing w:after="120" w:before="160"/>
      </w:pPr>
      <w:r>
        <w:t xml:space="preserve">Accesso e scoperta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homepage restituisce HTTP 200 e lo stesso HTML con Googlebot, OAI-SearchBot, PerplexityBot e Claude-SearchBot. Il robots pubblico consente la scansione e la sitemap è leggibile. Sono prove da questa rete con user agent dichiarati: non certificano l’accesso dai veri IP dei provider o l’assenza di ogni regola WAF.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contenuto principale è presente nella risposta HTML, sia live sia nel build locale. /llms.txt restituisce 404 online; non è un requisito di Google e non è trattato come difetto critico. Un file opzionale può essere valutato più avanti, senza aspettative di aumento del ranking [S3].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OAI-SearchBot riguarda la ricerca e GPTBot il possibile uso per addestramento: i controlli sono indipendenti [S5]. Non è necessario autorizzare l’addestramento per perseguire la reperibilità. Per gli altri provider va verificata la documentazione corrente prima di una nuova policy.</w:t>
      </w:r>
    </w:p>
    <w:p>
      <w:pPr>
        <w:pStyle w:val="Heading2"/>
        <w:spacing w:after="120" w:before="160"/>
      </w:pPr>
      <w:r>
        <w:t xml:space="preserve">Confronto con due fonti locali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00"/>
        <w:gridCol w:w="3980"/>
        <w:gridCol w:w="3780"/>
      </w:tblGrid>
      <w:tr>
        <w:trPr>
          <w:cantSplit/>
          <w:tblHeader/>
        </w:trPr>
        <w:tc>
          <w:tcPr>
            <w:tcW w:type="dxa" w:w="1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Studio</w:t>
            </w:r>
          </w:p>
        </w:tc>
        <w:tc>
          <w:tcPr>
            <w:tcW w:type="dxa" w:w="398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Evidenza sul suo sito</w:t>
            </w:r>
          </w:p>
        </w:tc>
        <w:tc>
          <w:tcPr>
            <w:tcW w:type="dxa" w:w="378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Indicazione per UrbanCare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 Dott Micalizzi</w:t>
            </w:r>
          </w:p>
        </w:tc>
        <w:tc>
          <w:tcPr>
            <w:tcW w:type="dxa" w:w="39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Biografie, titoli di studio e iscrizione ANAMMI dichiarata con numero. [S8]</w:t>
            </w:r>
          </w:p>
        </w:tc>
        <w:tc>
          <w:tcPr>
            <w:tcW w:type="dxa" w:w="37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Pubblicare qualifiche reali e verificabili, se disponibili.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ENNECI</w:t>
            </w:r>
          </w:p>
        </w:tc>
        <w:tc>
          <w:tcPr>
            <w:tcW w:type="dxa" w:w="398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Attività dal 1981, servizio dettagliato, sede e orari dichiarati. [S9]</w:t>
            </w:r>
          </w:p>
        </w:tc>
        <w:tc>
          <w:tcPr>
            <w:tcW w:type="dxa" w:w="378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Spiegare la propria esperienza e il metodo con prove specifiche.</w:t>
            </w:r>
          </w:p>
        </w:tc>
      </w:tr>
    </w:tbl>
    <w:p>
      <w:pPr>
        <w:spacing w:after="70"/>
      </w:pP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Sono osservazioni su siti dei diretti interessati, non verifica indipendente delle loro credenziali né prova che siano citati da un assistente. Non sono state misurate posizioni Google o quote di citazione. Il mancato accesso a Studio Lucato non è usato per valutarlo.</w:t>
      </w:r>
    </w:p>
    <w:p>
      <w:pPr>
        <w:pStyle w:val="Heading2"/>
        <w:spacing w:after="120" w:before="160"/>
      </w:pPr>
      <w:r>
        <w:t xml:space="preserve">Google Business Profile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Verificare se esiste già il profilo prima di crearne uno. Se l’attività soddisfa i requisiti e riceve i clienti presso di loro, valutare un profilo con area di servizio e indirizzo nascosto secondo le regole Google [S6, S7]. Non dedurre che il profilo manchi: non è stato ispezionato. Recapiti e descrizione devono essere coerenti con il sito.</w:t>
      </w:r>
    </w:p>
    <w:p>
      <w:pPr>
        <w:sectPr>
          <w:headerReference w:type="default" r:id="rId23"/>
          <w:footerReference w:type="default" r:id="rId24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Portfolio di prompt e misurazione AI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skill ai-seo richiede un controllo delle risposte su più motori. Questo audit completa accesso, contenuto, entità e confronto delle fonti; non include sessioni dirette ripetute su ChatGPT Search, Perplexity e Google AI Overviews. Il tasso di citazione iniziale resta non misurato, non zero. Le ricerche web usate per raccogliere fonti non equivalgono a quel test.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50"/>
        <w:gridCol w:w="8010"/>
      </w:tblGrid>
      <w:tr>
        <w:trPr>
          <w:cantSplit/>
          <w:tblHeader/>
        </w:trPr>
        <w:tc>
          <w:tcPr>
            <w:tcW w:type="dxa" w:w="135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801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da usare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Locale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Quale amministratore di condominio posso contattare a Garbagnate Milanese?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Locale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Cerco un amministratore per un condominio ad Arese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Locale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Chi segue un condominio a Cesate?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Preventivo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Come richiedo un preventivo per cambiare amministratore a Garbagnate?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Preventivo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 informazioni servono per un preventivo condominiale?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Costo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 cosa dipende il compenso di un amministratore di condominio?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Cambio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Come si avvia il cambio di amministratore condominiale?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Cambio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 documenti servono al nuovo amministratore?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Cambio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Cosa succede durante il passaggio di consegne?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Contabilità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Come capire un rendiconto condominiale?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Contabilità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Perché la mia quota condominiale è diversa da quella del vicino?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Chi è Noele Romano di Urbancare?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quali comuni opera Urbancare?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</w:t>
            </w:r>
          </w:p>
        </w:tc>
        <w:tc>
          <w:tcPr>
            <w:tcW w:type="dxa" w:w="801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Come contatto Urbancare per un preventivo?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Portale</w:t>
            </w:r>
          </w:p>
        </w:tc>
        <w:tc>
          <w:tcPr>
            <w:tcW w:type="dxa" w:w="801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Cosa posso consultare nel portale Urbancare?</w:t>
            </w:r>
          </w:p>
        </w:tc>
      </w:tr>
    </w:tbl>
    <w:p>
      <w:pPr>
        <w:spacing w:after="70"/>
      </w:pP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Protocollo proposto: eseguire ciascun prompt tre volte per piattaforma, registrando data, lingua, località dichiarata, motore, risposta, brand menzionato, URL citata e raccomandazione. Quindici prompt × tre esecuzioni × tre piattaforme = 135 osservazioni per ciclo. È un piano, non un’attività già completata.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Distinguere sito recuperato, fonte citata, brand menzionato e studio raccomandato. Confrontare nel tempo lo stesso campione e il numero di osservazioni. Usare solo le funzionalità effettivamente disponibili per paese/account e non interpretare una singola risposta come classifica stabile.</w:t>
      </w:r>
    </w:p>
    <w:p>
      <w:pPr>
        <w:sectPr>
          <w:headerReference w:type="default" r:id="rId25"/>
          <w:footerReference w:type="default" r:id="rId26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Matrice delle raccomandazioni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00"/>
        <w:gridCol w:w="4100"/>
        <w:gridCol w:w="1400"/>
        <w:gridCol w:w="1200"/>
        <w:gridCol w:w="1560"/>
      </w:tblGrid>
      <w:tr>
        <w:trPr>
          <w:cantSplit/>
          <w:tblHeader/>
        </w:trPr>
        <w:tc>
          <w:tcPr>
            <w:tcW w:type="dxa" w:w="11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41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Intervento</w:t>
            </w:r>
          </w:p>
        </w:tc>
        <w:tc>
          <w:tcPr>
            <w:tcW w:type="dxa" w:w="14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Dimensione</w:t>
            </w:r>
          </w:p>
        </w:tc>
        <w:tc>
          <w:tcPr>
            <w:tcW w:type="dxa" w:w="12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Sforzo</w:t>
            </w:r>
          </w:p>
        </w:tc>
        <w:tc>
          <w:tcPr>
            <w:tcW w:type="dxa" w:w="15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Impatto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7E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Allineare produzione e rework dopo verifica rilascio.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SEO/GEO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7E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4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Ampliare /contatti sul preventivo e collegamenti diretti.</w:t>
            </w:r>
          </w:p>
        </w:tc>
        <w:tc>
          <w:tcPr>
            <w:tcW w:type="dxa" w:w="14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SEO/AEO</w:t>
            </w:r>
          </w:p>
        </w:tc>
        <w:tc>
          <w:tcPr>
            <w:tcW w:type="dxa" w:w="1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Basso</w:t>
            </w:r>
          </w:p>
        </w:tc>
        <w:tc>
          <w:tcPr>
            <w:tcW w:type="dxa" w:w="15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7E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Uniformare le promesse del portale su tutte le pagine.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Basso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7E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4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Guida originale sul cambio amministratore con fonti.</w:t>
            </w:r>
          </w:p>
        </w:tc>
        <w:tc>
          <w:tcPr>
            <w:tcW w:type="dxa" w:w="14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SEO/AEO</w:t>
            </w:r>
          </w:p>
        </w:tc>
        <w:tc>
          <w:tcPr>
            <w:tcW w:type="dxa" w:w="1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7E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Guida sui fattori del compenso, senza prezzi inventati.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SEO/AEO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7E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4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Validare e documentare fonti nell’articolo millesimi.</w:t>
            </w:r>
          </w:p>
        </w:tc>
        <w:tc>
          <w:tcPr>
            <w:tcW w:type="dxa" w:w="14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Aggiungere risposte FAQ visibili ai servizi prioritari.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AEO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Basso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dxa" w:w="4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Qualifiche e uno o due casi reali autorizzati.</w:t>
            </w:r>
          </w:p>
        </w:tc>
        <w:tc>
          <w:tcPr>
            <w:tcW w:type="dxa" w:w="14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 profilo Google e coerenza dei recapiti.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dxa" w:w="4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Secondo set di keyword per gli altri quattro comuni.</w:t>
            </w:r>
          </w:p>
        </w:tc>
        <w:tc>
          <w:tcPr>
            <w:tcW w:type="dxa" w:w="14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Basso</w:t>
            </w:r>
          </w:p>
        </w:tc>
        <w:tc>
          <w:tcPr>
            <w:tcW w:type="dxa" w:w="15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Baseline Search Console e misure prestazionali.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dxa" w:w="41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Monitoraggio citazioni con portfolio controllato.</w:t>
            </w:r>
          </w:p>
        </w:tc>
        <w:tc>
          <w:tcPr>
            <w:tcW w:type="dxa" w:w="14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2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  <w:tc>
          <w:tcPr>
            <w:tcW w:type="dxa" w:w="15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Opzionale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llms.txt essenziale, solo dopo i contenuti principali.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Basso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Incerto</w:t>
            </w:r>
          </w:p>
        </w:tc>
      </w:tr>
    </w:tbl>
    <w:p>
      <w:pPr>
        <w:spacing w:after="70"/>
      </w:pP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Sforzo relativo: basso = intervento circoscritto; medio = contenuto o verifica con più passaggi. Impatto è una priorità strategica stimata, non una previsione numerica. Non sono stati rilevati blocchi critici generalizzati di scansione o noindex accidentali sulle pagine commerciali pubbliche.</w:t>
      </w:r>
    </w:p>
    <w:p>
      <w:pPr>
        <w:pStyle w:val="Heading2"/>
        <w:spacing w:after="120" w:before="160"/>
      </w:pPr>
      <w:r>
        <w:t xml:space="preserve">Cosa evitare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 duplicare landing per sinonimi o comuni cambiando solo il nome. Non aggiungere schema senza fatti visibili. Non creare una pagina prezzi con tariffe inventate. Non pubblicare automaticamente le bozze CMS e non trattare le query di software come richieste di amministrazione. Non riscrivere la parte tecnica già corretta solo per accumulare interventi.</w:t>
      </w:r>
    </w:p>
    <w:p>
      <w:pPr>
        <w:sectPr>
          <w:headerReference w:type="default" r:id="rId27"/>
          <w:footerReference w:type="default" r:id="rId28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Brief editoriali pronti per il lavoro</w:t>
      </w:r>
    </w:p>
    <w:p>
      <w:pPr>
        <w:pStyle w:val="Heading2"/>
        <w:spacing w:after="120" w:before="160"/>
      </w:pPr>
      <w:r>
        <w:t xml:space="preserve">Preventivo nella pagina contatti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Destinazione: /contatti#preventivo. Query guida: preventivo amministratore condominio. Aprire con i dati già richiesti dal modulo: comune, unità, box, ascensore, riscaldamento e situazione attuale. Spiegare come incidono sulla proposta e distinguere compenso di gestione e altre spese. Pubblicare inclusioni, eventuali esclusioni e tempi solo dopo conferma dello studio.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Bozza di risposta: “Per richiedere un preventivo a Urbancare, indica il comune del condominio, il numero di unità e le principali esigenze di gestione. Il modulo permette anche di segnalare ascensore, riscaldamento e situazione attuale. Queste informazioni aiutano lo studio a valutare la richiesta e preparare una proposta personalizzata.”</w:t>
      </w:r>
    </w:p>
    <w:p>
      <w:pPr>
        <w:pStyle w:val="Heading2"/>
        <w:spacing w:after="120" w:before="160"/>
      </w:pPr>
      <w:r>
        <w:t xml:space="preserve">Guida sul cambio amministratore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Titolo proposto: Come cambiare amministratore di condominio. Collegare la guida al blocco già presente nella pagina amministrazione e al preventivo. Trattare valutazione della situazione, richiesta delle proposte, decisioni assembleari e consegna dei documenti. Per quorum, scadenze e casi speciali, verificare normativa vigente e revisione professionale; questo report non fornisce una procedura legale.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FAQ suggerite: quali informazioni inviare a un nuovo studio; come gestire un passaggio con documentazione incompleta; come chiedere una proposta prima di una decisione. Distinguere ciò che Urbancare fa da ciò che devono deliberare i condomini.</w:t>
      </w:r>
    </w:p>
    <w:p>
      <w:pPr>
        <w:pStyle w:val="Heading2"/>
        <w:spacing w:after="120" w:before="160"/>
      </w:pPr>
      <w:r>
        <w:t xml:space="preserve">Guida sui costi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Titolo proposto: Da cosa dipende il costo dell’amministratore di condominio. Spiegare unità, impianti, complessità, attività ordinarie e incarichi straordinari. Una tabella delle voci aiuta il confronto, senza importi se non approvati. La CTA rimanda al preventivo locale.</w:t>
      </w:r>
    </w:p>
    <w:p>
      <w:pPr>
        <w:pStyle w:val="Heading2"/>
        <w:spacing w:after="120" w:before="160"/>
      </w:pPr>
      <w:r>
        <w:t xml:space="preserve">Revisione della guida sui millesimi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Conservare autore, data e spiegazione accessibile. Aggiungere fonti primarie verificabili e precisare i limiti degli esempi relativi a proprietà, scale, ascensori e riscaldamento. Non estendere una regola generale a ogni spesa. La revisione va sostanziale prima di aggiornare la data.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 sono brief e una bozza di copy, non contenuti già pubblicati o approvati dal professionista.</w:t>
      </w:r>
    </w:p>
    <w:p>
      <w:pPr>
        <w:sectPr>
          <w:headerReference w:type="default" r:id="rId29"/>
          <w:footerReference w:type="default" r:id="rId30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Piano di lavoro e risultati da misurare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3900"/>
        <w:gridCol w:w="3760"/>
      </w:tblGrid>
      <w:tr>
        <w:trPr>
          <w:cantSplit/>
          <w:tblHeader/>
        </w:trPr>
        <w:tc>
          <w:tcPr>
            <w:tcW w:type="dxa" w:w="17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Lavoro</w:t>
            </w:r>
          </w:p>
        </w:tc>
        <w:tc>
          <w:tcPr>
            <w:tcW w:type="dxa" w:w="37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 di completamento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 del rilascio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Allineare email, promesse del portale, contenuti e fonti. Verificare build e redirect.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Nessuna contraddizione tra studio, servizi e contatti.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Rilascio del rework</w:t>
            </w:r>
          </w:p>
        </w:tc>
        <w:tc>
          <w:tcPr>
            <w:tcW w:type="dxa" w:w="3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Pubblicare con il normale processo del progetto e controllare le nuove route.</w:t>
            </w:r>
          </w:p>
        </w:tc>
        <w:tc>
          <w:tcPr>
            <w:tcW w:type="dxa" w:w="37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Home, blog, articolo e zone 200; /preventivo 308 alla destinazione prevista.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Contenuti prioritari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Preventivo, costi e cambio; link dai servizi e dalle guide.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Ogni intento ha una pagina proprietaria utile.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Presenza locale</w:t>
            </w:r>
          </w:p>
        </w:tc>
        <w:tc>
          <w:tcPr>
            <w:tcW w:type="dxa" w:w="39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Verificare profilo Google, contatti e prove autorizzate.</w:t>
            </w:r>
          </w:p>
        </w:tc>
        <w:tc>
          <w:tcPr>
            <w:tcW w:type="dxa" w:w="37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Informazioni coerenti e nessun profilo duplicato.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Misura nel tempo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Baseline SEO e AI, poi confronto su finestre omogenee.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Contatti qualificati e copertura delle query monitorati.</w:t>
            </w:r>
          </w:p>
        </w:tc>
      </w:tr>
    </w:tbl>
    <w:p>
      <w:pPr>
        <w:spacing w:after="70"/>
      </w:pPr>
    </w:p>
    <w:p>
      <w:pPr>
        <w:pStyle w:val="Heading2"/>
        <w:spacing w:after="120" w:before="160"/>
      </w:pPr>
      <w:r>
        <w:t xml:space="preserve">Metriche utili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Console: impressioni, clic e query delle pagine prioritarie; separare brand, ricerche locali e informative. Controllare indicizzazione e canonical selezionato. Le fasce Google Ads descrivono domanda stimata: non sostituiscono le performance reali del dominio.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Conversioni: richieste di preventivo completate e contatti qualificati per comune; clic su telefono/email come segnali secondari. Distinguere click sul portale di clienti esistenti dalle opportunità commerciali. Gli invii effettivi dei moduli non sono stati testati per evitare messaggi reali allo studio.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AI: URL citate, menzioni e raccomandazioni nel campione controllato; referral rilevabili e richieste che dichiarano una scoperta tramite assistente. Un aumento di traffico diretto non viene attribuito automaticamente all’AI.</w:t>
      </w:r>
    </w:p>
    <w:p>
      <w:pPr>
        <w:pStyle w:val="Heading2"/>
        <w:spacing w:after="120" w:before="160"/>
      </w:pPr>
      <w:r>
        <w:t xml:space="preserve">Criteri per il prossimo controllo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Dopo il rilascio: crawl delle route effettive, conferma sitemap e redirect, ispezione URL in Search Console e controllo mobile. Dopo l’indicizzazione e una finestra utile di dati: confrontare risultati con la baseline, tenendo conto della stagionalità. Nessuna data di posizionamento o numero di lead è garantito.</w:t>
      </w:r>
    </w:p>
    <w:p>
      <w:pPr>
        <w:sectPr>
          <w:headerReference w:type="default" r:id="rId31"/>
          <w:footerReference w:type="default" r:id="rId32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Punti di forza metodo e limiti</w:t>
      </w:r>
    </w:p>
    <w:p>
      <w:pPr>
        <w:pStyle w:val="Heading2"/>
        <w:spacing w:after="120" w:before="160"/>
      </w:pPr>
      <w:r>
        <w:t xml:space="preserve">Cosa funziona già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sito pubblico è leggibile e navigabile, con URL chiare, metadata specifici, HTTPS, canonical e un H1 per pagina. Non è stato riscontrato un sito tecnicamente invisibile.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professionista è identificato e il metodo di lavoro spiegato. Le quattro pagine servizio esistono già. Il rework aggiunge un grafo di entità collegato, il territorio prioritario, un articolo attribuito e collegamenti tra servizi.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L’assenza di una sede pubblica non è stata compensata con dati inventati. Il percorso preventivo è stato analizzato secondo il redirect configurato, evitando un falso problema sul suo HTML.</w:t>
      </w:r>
    </w:p>
    <w:p>
      <w:pPr>
        <w:pStyle w:val="Heading2"/>
        <w:spacing w:after="120" w:before="160"/>
      </w:pPr>
      <w:r>
        <w:t xml:space="preserve">Come sono assegnati i voti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punteggi sono giudizi motivati su una scala 1-10 della skill seo-geo-aeo. Per SEO si valutano accessibilità tecnica, metadata, architettura, territorio e contenuto; per GEO identità, coerenza, fonti, prove ed estrazione; per AEO definizioni, domande, passaggi, chiarezza e copertura dell’intento. Non sono output di uno strumento Google.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rework ottiene un giudizio migliore sul materiale esaminato, ma non viene considerato già online. Nessun voto extra viene assegnato per llms.txt, FAQPage, Speakable o numero di parole. Non sono previste penalizzazioni o aumenti di citazioni numerici.</w:t>
      </w:r>
    </w:p>
    <w:p>
      <w:pPr>
        <w:pStyle w:val="Heading2"/>
        <w:spacing w:after="120" w:before="160"/>
      </w:pPr>
      <w:r>
        <w:t xml:space="preserve">Limiti espliciti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 consultati: dati Search Console, profilo Google gestito, backlink/autorità, analytics di conversione, CrUX e log del CDN. Non completati: audit visuale mobile e campione ripetuto di risposte AI. Sono quindi non misurati, non mancanti o negativi.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build locale è quello disponibile del 15 ottobre; non è stata ricostruita l’app e non sono stati interrogati o modificati contenuti privati del database. Un solo articolo risulta nell’HTML generato esaminato. Il crawl segue sitemap e link scoperti: non può garantire l’assenza di URL orfane sconosciute.</w:t>
      </w:r>
    </w:p>
    <w:p>
      <w:pPr>
        <w:pStyle w:val="Heading2"/>
        <w:spacing w:after="120" w:before="160"/>
      </w:pPr>
      <w:r>
        <w:t xml:space="preserve">Glossario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SEO: rendere le pagine comprensibili e reperibili nella ricerca. GEO: migliorare la chiarezza e l’affidabilità delle informazioni che i motori generativi possono consultare e citare. AEO: rispondere bene alle domande delle persone, con formati chiari e navigabili.</w:t>
      </w:r>
    </w:p>
    <w:p>
      <w:pPr>
        <w:sectPr>
          <w:headerReference w:type="default" r:id="rId33"/>
          <w:footerReference w:type="default" r:id="rId34"/>
          <w:type w:val="nextPage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1"/>
        <w:spacing w:after="230"/>
      </w:pPr>
      <w:r>
        <w:t xml:space="preserve">Fonti e tracciabilità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Fonti consultate il 18 ottobre 2026. La documentazione ufficiale aggiornata prevale su indicazioni temporali o generalizzazioni delle skill. I siti concorrenti sono usati esclusivamente come fonti delle loro dichiarazioni.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00"/>
        <w:gridCol w:w="5500"/>
        <w:gridCol w:w="3260"/>
      </w:tblGrid>
      <w:tr>
        <w:trPr>
          <w:cantSplit/>
          <w:tblHeader/>
        </w:trPr>
        <w:tc>
          <w:tcPr>
            <w:tcW w:type="dxa" w:w="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Rif</w:t>
            </w:r>
          </w:p>
        </w:tc>
        <w:tc>
          <w:tcPr>
            <w:tcW w:type="dxa" w:w="55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e indirizzo</w:t>
            </w:r>
          </w:p>
        </w:tc>
        <w:tc>
          <w:tcPr>
            <w:tcW w:type="dxa" w:w="326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nel report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Ads
https://support.google.com/google-ads/answer/3022575?hl=it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Definizioni di volumi, varianti e concorrenza.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5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AI features
https://developers.google.com/search/docs/appearance/ai-features</w:t>
            </w:r>
          </w:p>
        </w:tc>
        <w:tc>
          <w:tcPr>
            <w:tcW w:type="dxa" w:w="3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Requisiti e misurazione delle funzioni AI di Search.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AI optimization
https://developers.google.com/search/docs/fundamentals/ai-optimization-guide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 di base e file AI opzionali.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S4</w:t>
            </w:r>
          </w:p>
        </w:tc>
        <w:tc>
          <w:tcPr>
            <w:tcW w:type="dxa" w:w="5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Search updates
https://developers.google.com/search/updates</w:t>
            </w:r>
          </w:p>
        </w:tc>
        <w:tc>
          <w:tcPr>
            <w:tcW w:type="dxa" w:w="3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Giugno 2026: rimozione documentazione FAQ rich result.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S5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OpenAI crawlers
https://developers.openai.com/api/docs/bots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Distinzione ricerca, addestramento e recupero utente.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S6</w:t>
            </w:r>
          </w:p>
        </w:tc>
        <w:tc>
          <w:tcPr>
            <w:tcW w:type="dxa" w:w="5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 Profile
https://support.google.com/business/answer/3038177?hl=it</w:t>
            </w:r>
          </w:p>
        </w:tc>
        <w:tc>
          <w:tcPr>
            <w:tcW w:type="dxa" w:w="3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Idoneità e rappresentazione dell’attività.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S7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aree di servizio
https://support.google.com/business/answer/9157481?hl=it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Gestione di attività con area di servizio.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S8</w:t>
            </w:r>
          </w:p>
        </w:tc>
        <w:tc>
          <w:tcPr>
            <w:tcW w:type="dxa" w:w="550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 Dott Micalizzi
https://www.idomica.it/chi-siamo4912bc9c</w:t>
            </w:r>
          </w:p>
        </w:tc>
        <w:tc>
          <w:tcPr>
            <w:tcW w:type="dxa" w:w="3260"/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Informazioni dichiarate dallo studio.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S9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ENNECI
https://www.enneciamministrazionecondomini.it/servizi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Servizi e presenza locale dichiarati.</w:t>
            </w:r>
          </w:p>
        </w:tc>
      </w:tr>
    </w:tbl>
    <w:p>
      <w:pPr>
        <w:spacing w:after="70"/>
      </w:pP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Evidenze locali: docs/seo/2026-10-18/evidence contiene HTML pubblici, live-audit.json, local-build-audit.json e bot-probes.json. I CSV originali Google Ads e keyword-map.csv sono nella cartella superiore. La mappa completa è preliminare e automatica; le assegnazioni definitive per gli intenti prioritari sono riportate in questo report.</w:t>
      </w:r>
    </w:p>
    <w:p>
      <w:pPr>
        <w:spacing w:after="140" w:line="2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Sorgenti principali verificate: lib/seo.ts, lib/metadata.ts, lib/site.ts, lib/design/templates.json, app/robots.ts, app/sitemap.ts, next.config.ts e route blog. Riferimenti di framework letti dalla documentazione Next.js 16.4 installata nel progetto.</w:t>
      </w:r>
    </w:p>
    <w:sectPr>
      <w:headerReference w:type="default" r:id="rId35"/>
      <w:footerReference w:type="default" r:id="rId36"/>
      <w:type w:val="nextPage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color w:val="64748B"/>
        <w:sz w:val="15"/>
        <w:szCs w:val="15"/>
      </w:rPr>
      <w:t xml:space="preserve">Metodo seo-geo-aeo di Alex Labat · Analisi Codex</w:t>
    </w:r>
    <w:r>
      <w:rPr>
        <w:sz w:val="15"/>
        <w:szCs w:val="15"/>
      </w:rPr>
      <w:t xml:space="preserve">	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00"/>
    </w:pPr>
    <w:r>
      <w:rPr>
        <w:b/>
        <w:bCs/>
        <w:color w:val="000000"/>
        <w:sz w:val="18"/>
        <w:szCs w:val="18"/>
      </w:rPr>
      <w:t xml:space="preserve">URBANCARE</w:t>
    </w:r>
    <w:r>
      <w:rPr>
        <w:color w:val="000000"/>
        <w:sz w:val="16"/>
        <w:szCs w:val="16"/>
      </w:rPr>
      <w:t xml:space="preserve">	SEO GEO AEO   |   FULL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72"/>
      <w:szCs w:val="72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UrbanCare Analisi SEO GEO AEO</dc:title>
  <dc:creator>Codex</dc:creator>
  <dc:description>Full Audit basato su Google Ads, sito pubblico e rework locale</dc:description>
  <cp:lastModifiedBy>Un-named</cp:lastModifiedBy>
  <cp:revision>1</cp:revision>
  <dcterms:created xsi:type="dcterms:W3CDTF">2026-10-18T08:23:27.653Z</dcterms:created>
  <dcterms:modified xsi:type="dcterms:W3CDTF">2026-10-18T08:23:27.660Z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