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Introduction</w:t>
      </w:r>
    </w:p>
    <w:p>
      <w:r>
        <w:t>Our mission is to innovate and deliver the best software solutions to our customers. We value collaboration, integrity, and continuous learning.</w:t>
      </w:r>
    </w:p>
    <w:p>
      <w:r>
        <w:t>Founded in 2010, we have grown to a team of over 200 employees worldwide. Our diverse workforce spans multiple continents, bringing unique perspectives and expertise.</w:t>
      </w:r>
    </w:p>
    <w:p>
      <w:pPr>
        <w:pStyle w:val="Heading1"/>
      </w:pPr>
      <w:r>
        <w:t>Our Core Values</w:t>
      </w:r>
    </w:p>
    <w:p>
      <w:r>
        <w:t>We are committed to sustainability and corporate social responsibility, actively participating in community outreach programs and reducing our environmental footprint.</w:t>
      </w:r>
    </w:p>
    <w:p>
      <w:r>
        <w:t>Our core values include customer-centricity, transparency, and fostering a growth mindset. We encourage innovation and creativity in all aspects of our work.</w:t>
      </w:r>
    </w:p>
    <w:p>
      <w:r>
        <w:t>Looking ahead, we aim to expand our product offerings and continue building long-lasting relationships with our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