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 Id="rId6" Type="http://schemas.microsoft.com/office/2020/02/relationships/classificationlabels" Target="docMetadata/LabelInfo.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680"/>
        <w:gridCol w:w="4680"/>
      </w:tblGrid>
      <w:tr>
        <w:tc>
          <w:tcPr>
            <w:tcW w:type="dxa" w:w="4680"/>
            <w:shd w:val="clear" w:color="auto" w:fill="F2F2F2"/>
          </w:tcPr>
          <w:p>
            <w:r>
              <w:rPr>
                <w:b/>
                <w:sz w:val="20"/>
              </w:rPr>
              <w:t>Due Date</w:t>
            </w:r>
          </w:p>
        </w:tc>
        <w:tc>
          <w:tcPr>
            <w:tcW w:type="dxa" w:w="4680"/>
          </w:tcPr>
          <w:p>
            <w:r>
              <w:rPr>
                <w:sz w:val="20"/>
              </w:rPr>
              <w:t>January 20, 2026</w:t>
            </w:r>
          </w:p>
        </w:tc>
      </w:tr>
      <w:tr>
        <w:tc>
          <w:tcPr>
            <w:tcW w:type="dxa" w:w="4680"/>
            <w:shd w:val="clear" w:color="auto" w:fill="F2F2F2"/>
          </w:tcPr>
          <w:p>
            <w:r>
              <w:rPr>
                <w:b/>
                <w:sz w:val="20"/>
              </w:rPr>
              <w:t>Total Amount</w:t>
            </w:r>
          </w:p>
        </w:tc>
        <w:tc>
          <w:tcPr>
            <w:tcW w:type="dxa" w:w="4680"/>
          </w:tcPr>
          <w:p>
            <w:r>
              <w:rPr>
                <w:sz w:val="20"/>
              </w:rPr>
              <w:t>N/A</w:t>
            </w:r>
          </w:p>
        </w:tc>
      </w:tr>
      <w:tr>
        <w:tc>
          <w:tcPr>
            <w:tcW w:type="dxa" w:w="4680"/>
            <w:shd w:val="clear" w:color="auto" w:fill="F2F2F2"/>
          </w:tcPr>
          <w:p>
            <w:r>
              <w:rPr>
                <w:b/>
                <w:sz w:val="20"/>
              </w:rPr>
              <w:t>Payment Status</w:t>
            </w:r>
          </w:p>
        </w:tc>
        <w:tc>
          <w:tcPr>
            <w:tcW w:type="dxa" w:w="4680"/>
          </w:tcPr>
          <w:p>
            <w:r>
              <w:rPr>
                <w:b/>
                <w:color w:val="606060"/>
                <w:sz w:val="20"/>
              </w:rPr>
              <w:t>Void</w:t>
            </w:r>
          </w:p>
        </w:tc>
      </w:tr>
    </w:tbl>
    <w:p>
      <w:pPr>
        <w:pStyle w:val="FirstParagraph"/>
      </w:pPr>
      <w:r>
        <w:rPr>
          <w:b/>
        </w:rPr>
        <w:t xml:space="preserve">NON-DISCLOSURE AGREEMENT</w:t>
      </w:r>
      <w:r>
        <w:br/>
      </w:r>
      <w:r>
        <w:rPr>
          <w:b/>
        </w:rPr>
        <w:t xml:space="preserve">Version:</w:t>
      </w:r>
      <w:r>
        <w:t xml:space="preserve"> </w:t>
      </w:r>
      <w:r>
        <w:t xml:space="preserve">NDA_V234.0</w:t>
      </w:r>
      <w:r>
        <w:br/>
      </w:r>
      <w:r>
        <w:rPr>
          <w:b/>
        </w:rPr>
        <w:t xml:space="preserve">Date:</w:t>
      </w:r>
      <w:r>
        <w:t xml:space="preserve"> </w:t>
      </w:r>
      <w:r>
        <w:t xml:space="preserve">2025-07-02</w:t>
      </w:r>
    </w:p>
    <w:p>
      <w:pPr>
        <w:pStyle w:val="BodyText"/>
      </w:pPr>
      <w:r>
        <w:t xml:space="preserve">This Non-Disclosure Agreement (</w:t>
      </w:r>
      <w:r>
        <w:t xml:space="preserve">“</w:t>
      </w:r>
      <w:r>
        <w:t xml:space="preserve">Agreement</w:t>
      </w:r>
      <w:r>
        <w:t xml:space="preserve">”</w:t>
      </w:r>
      <w:r>
        <w:t xml:space="preserve">) is entered into as of the above date by and between:</w:t>
      </w:r>
    </w:p>
    <w:p>
      <w:pPr>
        <w:pStyle w:val="BodyText"/>
      </w:pPr>
      <w:r>
        <w:rPr>
          <w:b/>
        </w:rPr>
        <w:t xml:space="preserve">Ms. Sofia Ramirez</w:t>
      </w:r>
      <w:r>
        <w:t xml:space="preserve">, Head of Global Affairs, NexGen Solutions (</w:t>
      </w:r>
      <w:r>
        <w:t xml:space="preserve">“</w:t>
      </w:r>
      <w:r>
        <w:t xml:space="preserve">Disclosing Party</w:t>
      </w:r>
      <w:r>
        <w:t xml:space="preserve">”</w:t>
      </w:r>
      <w:r>
        <w:t xml:space="preserve">),</w:t>
      </w:r>
      <w:r>
        <w:br/>
      </w:r>
      <w:r>
        <w:t xml:space="preserve">and</w:t>
      </w:r>
      <w:r>
        <w:br/>
      </w:r>
      <w:r>
        <w:rPr>
          <w:b/>
        </w:rPr>
        <w:t xml:space="preserve">GreenStream Energy</w:t>
      </w:r>
      <w:r>
        <w:t xml:space="preserve"> </w:t>
      </w:r>
      <w:r>
        <w:t xml:space="preserve">(</w:t>
      </w:r>
      <w:r>
        <w:t xml:space="preserve">“</w:t>
      </w:r>
      <w:r>
        <w:t xml:space="preserve">Receiving Party</w:t>
      </w:r>
      <w:r>
        <w:t xml:space="preserve">”</w:t>
      </w:r>
      <w:r>
        <w:t xml:space="preserve">).</w:t>
      </w:r>
    </w:p>
    <w:p>
      <w:pPr>
        <w:pStyle w:val="BodyText"/>
      </w:pPr>
      <w:r>
        <w:t xml:space="preserve">Collectively referred to as the</w:t>
      </w:r>
      <w:r>
        <w:t xml:space="preserve"> </w:t>
      </w:r>
      <w:r>
        <w:t xml:space="preserve">“</w:t>
      </w:r>
      <w:r>
        <w:t xml:space="preserve">Parties</w:t>
      </w:r>
      <w:r>
        <w:t xml:space="preserve">”</w:t>
      </w:r>
      <w:r>
        <w:t xml:space="preserve"> </w:t>
      </w:r>
      <w:r>
        <w:t xml:space="preserve">and individually as a</w:t>
      </w:r>
      <w:r>
        <w:t xml:space="preserve"> </w:t>
      </w:r>
      <w:r>
        <w:t xml:space="preserve">“</w:t>
      </w:r>
      <w:r>
        <w:t xml:space="preserve">Party</w:t>
      </w:r>
      <w:r>
        <w:t xml:space="preserve">”</w:t>
      </w:r>
      <w:r>
        <w:t xml:space="preserve">.</w:t>
      </w:r>
    </w:p>
    <w:p>
      <w:r>
        <w:pict>
          <v:rect style="width:0;height:1.5pt" o:hralign="center" o:hrstd="t" o:hr="t"/>
        </w:pict>
      </w:r>
    </w:p>
    <w:p>
      <w:pPr>
        <w:pStyle w:val="Heading3"/>
      </w:pPr>
      <w:bookmarkStart w:id="20" w:name="definition-of-confidential-information"/>
      <w:r>
        <w:t xml:space="preserve">1.</w:t>
      </w:r>
      <w:r>
        <w:t xml:space="preserve"> </w:t>
      </w:r>
      <w:r>
        <w:rPr>
          <w:b/>
        </w:rPr>
        <w:t xml:space="preserve">Definition of Confidential Information</w:t>
      </w:r>
      <w:bookmarkEnd w:id="20"/>
    </w:p>
    <w:p>
      <w:pPr>
        <w:pStyle w:val="FirstParagraph"/>
      </w:pPr>
      <w:r>
        <w:t xml:space="preserve">For purposes of this Agreement,</w:t>
      </w:r>
      <w:r>
        <w:t xml:space="preserve"> </w:t>
      </w:r>
      <w:r>
        <w:t xml:space="preserve">“</w:t>
      </w:r>
      <w:r>
        <w:t xml:space="preserve">Confidential Information</w:t>
      </w:r>
      <w:r>
        <w:t xml:space="preserve">”</w:t>
      </w:r>
      <w:r>
        <w:t xml:space="preserve"> </w:t>
      </w:r>
      <w:r>
        <w:t xml:space="preserve">means any data or information, oral or written, disclosed by the Disclosing Party to the Receiving Party, that is not generally known to the public and that the Receiving Party understands is proprietary. Confidential Information includes, but is not limited to:</w:t>
      </w:r>
    </w:p>
    <w:p>
      <w:pPr>
        <w:numPr>
          <w:ilvl w:val="0"/>
          <w:numId w:val="1001"/>
        </w:numPr>
        <w:pStyle w:val="Compact"/>
      </w:pPr>
      <w:r>
        <w:t xml:space="preserve">Source code, object code, software, algorithms, and related documentation;</w:t>
      </w:r>
    </w:p>
    <w:p>
      <w:pPr>
        <w:numPr>
          <w:ilvl w:val="0"/>
          <w:numId w:val="1001"/>
        </w:numPr>
        <w:pStyle w:val="Compact"/>
      </w:pPr>
      <w:r>
        <w:t xml:space="preserve">Technical data, designs, schematics, inventions, processes, and know-how;</w:t>
      </w:r>
    </w:p>
    <w:p>
      <w:pPr>
        <w:numPr>
          <w:ilvl w:val="0"/>
          <w:numId w:val="1001"/>
        </w:numPr>
        <w:pStyle w:val="Compact"/>
      </w:pPr>
      <w:r>
        <w:t xml:space="preserve">Business plans, strategies, forecasts, and roadmaps;</w:t>
      </w:r>
    </w:p>
    <w:p>
      <w:pPr>
        <w:numPr>
          <w:ilvl w:val="0"/>
          <w:numId w:val="1001"/>
        </w:numPr>
        <w:pStyle w:val="Compact"/>
      </w:pPr>
      <w:r>
        <w:t xml:space="preserve">Customer lists, supplier information, and contact details;</w:t>
      </w:r>
    </w:p>
    <w:p>
      <w:pPr>
        <w:numPr>
          <w:ilvl w:val="0"/>
          <w:numId w:val="1001"/>
        </w:numPr>
        <w:pStyle w:val="Compact"/>
      </w:pPr>
      <w:r>
        <w:t xml:space="preserve">Financial data, pricing, cost information, and budgets;</w:t>
      </w:r>
    </w:p>
    <w:p>
      <w:pPr>
        <w:numPr>
          <w:ilvl w:val="0"/>
          <w:numId w:val="1001"/>
        </w:numPr>
        <w:pStyle w:val="Compact"/>
      </w:pPr>
      <w:r>
        <w:t xml:space="preserve">Marketing plans, research, and analysis;</w:t>
      </w:r>
    </w:p>
    <w:p>
      <w:pPr>
        <w:numPr>
          <w:ilvl w:val="0"/>
          <w:numId w:val="1001"/>
        </w:numPr>
        <w:pStyle w:val="Compact"/>
      </w:pPr>
      <w:r>
        <w:t xml:space="preserve">Product specifications, prototypes, and samples;</w:t>
      </w:r>
    </w:p>
    <w:p>
      <w:pPr>
        <w:numPr>
          <w:ilvl w:val="0"/>
          <w:numId w:val="1001"/>
        </w:numPr>
        <w:pStyle w:val="Compact"/>
      </w:pPr>
      <w:r>
        <w:t xml:space="preserve">Any notes, summaries, analyses, compilations, studies, or other documents prepared by the Receiving Party that contain or are based on Confidential Information.</w:t>
      </w:r>
    </w:p>
    <w:p>
      <w:pPr>
        <w:pStyle w:val="FirstParagraph"/>
      </w:pPr>
      <w:r>
        <w:t xml:space="preserve">Confidential Information may be disclosed in any form, including but not limited to written, oral, electronic, or visual.</w:t>
      </w:r>
    </w:p>
    <w:p>
      <w:r>
        <w:pict>
          <v:rect style="width:0;height:1.5pt" o:hralign="center" o:hrstd="t" o:hr="t"/>
        </w:pict>
      </w:r>
    </w:p>
    <w:p>
      <w:pPr>
        <w:pStyle w:val="Heading3"/>
      </w:pPr>
      <w:bookmarkStart w:id="21" w:name="obligations-of-receiving-party"/>
      <w:r>
        <w:t xml:space="preserve">2.</w:t>
      </w:r>
      <w:r>
        <w:t xml:space="preserve"> </w:t>
      </w:r>
      <w:r>
        <w:rPr>
          <w:b/>
        </w:rPr>
        <w:t xml:space="preserve">Obligations of Receiving Party</w:t>
      </w:r>
      <w:bookmarkEnd w:id="21"/>
    </w:p>
    <w:p>
      <w:pPr>
        <w:pStyle w:val="FirstParagraph"/>
      </w:pPr>
      <w:r>
        <w:t xml:space="preserve">The Receiving Party agrees to:</w:t>
      </w:r>
    </w:p>
    <w:p>
      <w:pPr>
        <w:numPr>
          <w:ilvl w:val="0"/>
          <w:numId w:val="1002"/>
        </w:numPr>
      </w:pPr>
      <w:r>
        <w:rPr>
          <w:b/>
        </w:rPr>
        <w:t xml:space="preserve">Non-Use:</w:t>
      </w:r>
      <w:r>
        <w:t xml:space="preserve"> </w:t>
      </w:r>
      <w:r>
        <w:t xml:space="preserve">Use the Confidential Information solely for the purpose of evaluating or pursuing a business relationship with the Disclosing Party and not for any other purpose.</w:t>
      </w:r>
    </w:p>
    <w:p>
      <w:pPr>
        <w:numPr>
          <w:ilvl w:val="0"/>
          <w:numId w:val="1002"/>
        </w:numPr>
      </w:pPr>
      <w:r>
        <w:rPr>
          <w:b/>
        </w:rPr>
        <w:t xml:space="preserve">Non-Disclosure:</w:t>
      </w:r>
      <w:r>
        <w:t xml:space="preserve"> </w:t>
      </w:r>
      <w:r>
        <w:t xml:space="preserve">Not disclose Confidential Information to any third party without the prior written consent of the Disclosing Party, except to employees, agents, or contractors who have a strict need to know and are bound by confidentiality obligations at least as restrictive as those contained herein.</w:t>
      </w:r>
    </w:p>
    <w:p>
      <w:pPr>
        <w:numPr>
          <w:ilvl w:val="0"/>
          <w:numId w:val="1002"/>
        </w:numPr>
      </w:pPr>
      <w:r>
        <w:rPr>
          <w:b/>
        </w:rPr>
        <w:t xml:space="preserve">Standard of Care:</w:t>
      </w:r>
      <w:r>
        <w:t xml:space="preserve"> </w:t>
      </w:r>
      <w:r>
        <w:t xml:space="preserve">Protect the confidentiality of the Confidential Information using at least the same degree of care as it uses to protect its own confidential information, but in no event less than a reasonable standard of care.</w:t>
      </w:r>
    </w:p>
    <w:p>
      <w:pPr>
        <w:numPr>
          <w:ilvl w:val="0"/>
          <w:numId w:val="1002"/>
        </w:numPr>
      </w:pPr>
      <w:r>
        <w:rPr>
          <w:b/>
        </w:rPr>
        <w:t xml:space="preserve">Notification:</w:t>
      </w:r>
      <w:r>
        <w:t xml:space="preserve"> </w:t>
      </w:r>
      <w:r>
        <w:t xml:space="preserve">Promptly notify the Disclosing Party in writing of any unauthorized use or disclosure of Confidential Information.</w:t>
      </w:r>
    </w:p>
    <w:p>
      <w:r>
        <w:pict>
          <v:rect style="width:0;height:1.5pt" o:hralign="center" o:hrstd="t" o:hr="t"/>
        </w:pict>
      </w:r>
    </w:p>
    <w:p>
      <w:pPr>
        <w:pStyle w:val="Heading3"/>
      </w:pPr>
      <w:bookmarkStart w:id="22" w:name="term-of-confidentiality"/>
      <w:r>
        <w:t xml:space="preserve">3.</w:t>
      </w:r>
      <w:r>
        <w:t xml:space="preserve"> </w:t>
      </w:r>
      <w:r>
        <w:rPr>
          <w:b/>
        </w:rPr>
        <w:t xml:space="preserve">Term of Confidentiality</w:t>
      </w:r>
      <w:bookmarkEnd w:id="22"/>
    </w:p>
    <w:p>
      <w:pPr>
        <w:pStyle w:val="FirstParagraph"/>
      </w:pPr>
      <w:r>
        <w:t xml:space="preserve">The Receiving Party’s duty to protect Confidential Information under this Agreement shall remain in effect for five (5) years from the date of each disclosure of such Confidential Information.</w:t>
      </w:r>
    </w:p>
    <w:p>
      <w:r>
        <w:pict>
          <v:rect style="width:0;height:1.5pt" o:hralign="center" o:hrstd="t" o:hr="t"/>
        </w:pict>
      </w:r>
    </w:p>
    <w:p>
      <w:pPr>
        <w:pStyle w:val="Heading3"/>
      </w:pPr>
      <w:bookmarkStart w:id="23" w:name="exclusions"/>
      <w:r>
        <w:t xml:space="preserve">4.</w:t>
      </w:r>
      <w:r>
        <w:t xml:space="preserve"> </w:t>
      </w:r>
      <w:r>
        <w:rPr>
          <w:b/>
        </w:rPr>
        <w:t xml:space="preserve">Exclusions</w:t>
      </w:r>
      <w:bookmarkEnd w:id="23"/>
    </w:p>
    <w:p>
      <w:pPr>
        <w:pStyle w:val="FirstParagraph"/>
      </w:pPr>
      <w:r>
        <w:t xml:space="preserve">Confidential Information does not include information that:</w:t>
      </w:r>
    </w:p>
    <w:p>
      <w:pPr>
        <w:numPr>
          <w:ilvl w:val="0"/>
          <w:numId w:val="1003"/>
        </w:numPr>
      </w:pPr>
      <w:r>
        <w:t xml:space="preserve">Is or becomes publicly known through no breach of this Agreement by the Receiving Party;</w:t>
      </w:r>
    </w:p>
    <w:p>
      <w:pPr>
        <w:numPr>
          <w:ilvl w:val="0"/>
          <w:numId w:val="1003"/>
        </w:numPr>
      </w:pPr>
      <w:r>
        <w:t xml:space="preserve">Is rightfully received from a third party without breach of any obligation of confidentiality;</w:t>
      </w:r>
    </w:p>
    <w:p>
      <w:pPr>
        <w:numPr>
          <w:ilvl w:val="0"/>
          <w:numId w:val="1003"/>
        </w:numPr>
      </w:pPr>
      <w:r>
        <w:t xml:space="preserve">Is independently developed by the Receiving Party without use of or reference to the Disclosing Party’s Confidential Information;</w:t>
      </w:r>
    </w:p>
    <w:p>
      <w:pPr>
        <w:numPr>
          <w:ilvl w:val="0"/>
          <w:numId w:val="1003"/>
        </w:numPr>
      </w:pPr>
      <w:r>
        <w:t xml:space="preserve">Is approved for release in writing by the Disclosing Party.</w:t>
      </w:r>
    </w:p>
    <w:p>
      <w:r>
        <w:pict>
          <v:rect style="width:0;height:1.5pt" o:hralign="center" o:hrstd="t" o:hr="t"/>
        </w:pict>
      </w:r>
    </w:p>
    <w:p>
      <w:pPr>
        <w:pStyle w:val="Heading3"/>
      </w:pPr>
      <w:bookmarkStart w:id="24" w:name="Xb5fb291f143a2f3c91d7ee5dd30d4bc376e8c3c"/>
      <w:r>
        <w:t xml:space="preserve">5.</w:t>
      </w:r>
      <w:r>
        <w:t xml:space="preserve"> </w:t>
      </w:r>
      <w:r>
        <w:rPr>
          <w:b/>
        </w:rPr>
        <w:t xml:space="preserve">Return or Destruction of Confidential Information</w:t>
      </w:r>
      <w:bookmarkEnd w:id="24"/>
    </w:p>
    <w:p>
      <w:pPr>
        <w:pStyle w:val="FirstParagraph"/>
      </w:pPr>
      <w:r>
        <w:t xml:space="preserve">Upon the Disclosing Party’s written request, or upon termination of discussions or the business relationship, the Receiving Party shall promptly return or destroy all Confidential Information, including all copies, summaries, and derivations thereof, and certify in writing its compliance with this obligation.</w:t>
      </w:r>
    </w:p>
    <w:p>
      <w:r>
        <w:pict>
          <v:rect style="width:0;height:1.5pt" o:hralign="center" o:hrstd="t" o:hr="t"/>
        </w:pict>
      </w:r>
    </w:p>
    <w:p>
      <w:pPr>
        <w:pStyle w:val="Heading3"/>
      </w:pPr>
      <w:bookmarkStart w:id="25" w:name="equitable-relief"/>
      <w:r>
        <w:t xml:space="preserve">6.</w:t>
      </w:r>
      <w:r>
        <w:t xml:space="preserve"> </w:t>
      </w:r>
      <w:r>
        <w:rPr>
          <w:b/>
        </w:rPr>
        <w:t xml:space="preserve">Equitable Relief</w:t>
      </w:r>
      <w:bookmarkEnd w:id="25"/>
    </w:p>
    <w:p>
      <w:pPr>
        <w:pStyle w:val="FirstParagraph"/>
      </w:pPr>
      <w:r>
        <w:t xml:space="preserve">The Receiving Party acknowledges that any unauthorized use or disclosure of Confidential Information may cause irreparable harm to the Disclosing Party, for which monetary damages may be inadequate. The Disclosing Party shall be entitled to seek injunctive or other equitable relief to prevent or remedy any breach or threatened breach of this Agreement, in addition to any other remedies available at law or in equity.</w:t>
      </w:r>
    </w:p>
    <w:p>
      <w:r>
        <w:pict>
          <v:rect style="width:0;height:1.5pt" o:hralign="center" o:hrstd="t" o:hr="t"/>
        </w:pict>
      </w:r>
    </w:p>
    <w:p>
      <w:pPr>
        <w:pStyle w:val="Heading3"/>
      </w:pPr>
      <w:bookmarkStart w:id="26" w:name="liquidated-damages"/>
      <w:r>
        <w:t xml:space="preserve">7.</w:t>
      </w:r>
      <w:r>
        <w:t xml:space="preserve"> </w:t>
      </w:r>
      <w:r>
        <w:rPr>
          <w:b/>
        </w:rPr>
        <w:t xml:space="preserve">Liquidated Damages</w:t>
      </w:r>
      <w:bookmarkEnd w:id="26"/>
    </w:p>
    <w:p>
      <w:pPr>
        <w:pStyle w:val="FirstParagraph"/>
      </w:pPr>
      <w:r>
        <w:t xml:space="preserve">In the event of any unauthorized disclosure or use of Confidential Information by the Receiving Party, the Receiving Party shall pay to the Disclosing Party liquidated damages in the amount of</w:t>
      </w:r>
      <w:r>
        <w:t xml:space="preserve"> </w:t>
      </w:r>
      <w:r>
        <w:rPr>
          <w:b/>
        </w:rPr>
        <w:t xml:space="preserve">$50,102.00</w:t>
      </w:r>
      <w:r>
        <w:t xml:space="preserve"> </w:t>
      </w:r>
      <w:r>
        <w:t xml:space="preserve">for each instance of such unauthorized disclosure or use. The Parties agree that this amount is a reasonable estimate of the damages likely to result from such a breach and is not a penalty.</w:t>
      </w:r>
    </w:p>
    <w:p>
      <w:r>
        <w:pict>
          <v:rect style="width:0;height:1.5pt" o:hralign="center" o:hrstd="t" o:hr="t"/>
        </w:pict>
      </w:r>
    </w:p>
    <w:p>
      <w:pPr>
        <w:pStyle w:val="Heading3"/>
      </w:pPr>
      <w:bookmarkStart w:id="27" w:name="governing-law-and-jurisdiction"/>
      <w:r>
        <w:t xml:space="preserve">8.</w:t>
      </w:r>
      <w:r>
        <w:t xml:space="preserve"> </w:t>
      </w:r>
      <w:r>
        <w:rPr>
          <w:b/>
        </w:rPr>
        <w:t xml:space="preserve">Governing Law and Jurisdiction</w:t>
      </w:r>
      <w:bookmarkEnd w:id="27"/>
    </w:p>
    <w:p>
      <w:pPr>
        <w:pStyle w:val="FirstParagraph"/>
      </w:pPr>
      <w:r>
        <w:t xml:space="preserve">This Agreement shall be governed by and construed in accordance with the laws of the State of New York, without regard to its conflict of law principles. The Parties consent to the exclusive jurisdiction and venue of the state and federal courts located in New York County, New York, for any disputes arising out of or relating to this Agreement.</w:t>
      </w:r>
    </w:p>
    <w:p>
      <w:r>
        <w:pict>
          <v:rect style="width:0;height:1.5pt" o:hralign="center" o:hrstd="t" o:hr="t"/>
        </w:pict>
      </w:r>
    </w:p>
    <w:p>
      <w:pPr>
        <w:pStyle w:val="Heading3"/>
      </w:pPr>
      <w:bookmarkStart w:id="28" w:name="miscellaneous"/>
      <w:r>
        <w:t xml:space="preserve">9.</w:t>
      </w:r>
      <w:r>
        <w:t xml:space="preserve"> </w:t>
      </w:r>
      <w:r>
        <w:rPr>
          <w:b/>
        </w:rPr>
        <w:t xml:space="preserve">Miscellaneous</w:t>
      </w:r>
      <w:bookmarkEnd w:id="28"/>
    </w:p>
    <w:p>
      <w:pPr>
        <w:numPr>
          <w:ilvl w:val="0"/>
          <w:numId w:val="1004"/>
        </w:numPr>
      </w:pPr>
      <w:r>
        <w:t xml:space="preserve">This Agreement constitutes the entire agreement between the Parties regarding the subject matter hereof and supersedes all prior agreements and understandings, whether written or oral.</w:t>
      </w:r>
    </w:p>
    <w:p>
      <w:pPr>
        <w:numPr>
          <w:ilvl w:val="0"/>
          <w:numId w:val="1004"/>
        </w:numPr>
      </w:pPr>
      <w:r>
        <w:t xml:space="preserve">Any amendment or modification of this Agreement must be in writing and signed by both Parties.</w:t>
      </w:r>
    </w:p>
    <w:p>
      <w:pPr>
        <w:numPr>
          <w:ilvl w:val="0"/>
          <w:numId w:val="1004"/>
        </w:numPr>
      </w:pPr>
      <w:r>
        <w:t xml:space="preserve">If any provision of this Agreement is found to be unenforceable, the remainder shall continue in full force and effect.</w:t>
      </w:r>
    </w:p>
    <w:p>
      <w:r>
        <w:pict>
          <v:rect style="width:0;height:1.5pt" o:hralign="center" o:hrstd="t" o:hr="t"/>
        </w:pict>
      </w:r>
    </w:p>
    <w:p>
      <w:pPr>
        <w:pStyle w:val="FirstParagraph"/>
      </w:pPr>
      <w:r>
        <w:rPr>
          <w:b/>
        </w:rPr>
        <w:t xml:space="preserve">IN WITNESS WHEREOF</w:t>
      </w:r>
      <w:r>
        <w:t xml:space="preserve">, the Parties have executed this Non-Disclosure Agreement as of the date first written above.</w:t>
      </w:r>
    </w:p>
    <w:p>
      <w:r>
        <w:pict>
          <v:rect style="width:0;height:1.5pt" o:hralign="center" o:hrstd="t" o:hr="t"/>
        </w:pict>
      </w:r>
    </w:p>
    <w:p>
      <w:pPr>
        <w:pStyle w:val="FirstParagraph"/>
      </w:pPr>
      <w:r>
        <w:t xml:space="preserve">Ms. Sofia Ramirez</w:t>
      </w:r>
      <w:r>
        <w:br/>
      </w:r>
      <w:r>
        <w:t xml:space="preserve">Head of Global Affairs</w:t>
      </w:r>
      <w:r>
        <w:br/>
      </w:r>
      <w:r>
        <w:t xml:space="preserve">NexGen Solutions</w:t>
      </w:r>
    </w:p>
    <w:p>
      <w:pPr>
        <w:pStyle w:val="BodyText"/>
      </w:pPr>
      <w:r>
        <w:t xml:space="preserve">Date: _______________________</w:t>
      </w:r>
    </w:p>
    <w:p>
      <w:r>
        <w:pict>
          <v:rect style="width:0;height:1.5pt" o:hralign="center" o:hrstd="t" o:hr="t"/>
        </w:pict>
      </w:r>
    </w:p>
    <w:p>
      <w:pPr>
        <w:pStyle w:val="FirstParagraph"/>
      </w:pPr>
      <w:r>
        <w:t xml:space="preserve">Authorized Representative</w:t>
      </w:r>
      <w:r>
        <w:br/>
      </w:r>
      <w:r>
        <w:t xml:space="preserve">GreenStream Energy</w:t>
      </w:r>
    </w:p>
    <w:p>
      <w:pPr>
        <w:pStyle w:val="BodyText"/>
      </w:pPr>
      <w:r>
        <w:t xml:space="preserve">Date: _______________________</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711">
    <w:nsid w:val="71315dca"/>
    <w:multiLevelType w:val="multilevel"/>
    <w:lvl w:ilvl="0">
      <w:start w:val="1"/>
      <w:numFmt w:val="lowerLetter"/>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Letter"/>
      <w:lvlText w:val="%3."/>
      <w:lvlJc w:val="left"/>
      <w:pPr>
        <w:tabs>
          <w:tab w:val="num" w:pos="1440"/>
        </w:tabs>
        <w:ind w:left="1920" w:hanging="480"/>
      </w:pPr>
    </w:lvl>
    <w:lvl w:ilvl="3">
      <w:start w:val="1"/>
      <w:numFmt w:val="lowerLetter"/>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Letter"/>
      <w:lvlText w:val="%6."/>
      <w:lvlJc w:val="left"/>
      <w:pPr>
        <w:tabs>
          <w:tab w:val="num" w:pos="3600"/>
        </w:tabs>
        <w:ind w:left="4080" w:hanging="480"/>
      </w:pPr>
    </w:lvl>
    <w:lvl w:ilvl="6">
      <w:start w:val="1"/>
      <w:numFmt w:val="lowerLetter"/>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Letter"/>
      <w:lvlText w:val="%9."/>
      <w:lvlJc w:val="left"/>
      <w:pPr>
        <w:tabs>
          <w:tab w:val="num" w:pos="5760"/>
        </w:tabs>
        <w:ind w:left="6240" w:hanging="480"/>
      </w:pPr>
    </w:lvl>
  </w:abstractNum>
  <w:num w:numId="1000">
    <w:abstractNumId w:val="990"/>
  </w:num>
  <w:num w:numId="1001">
    <w:abstractNumId w:val="991"/>
  </w:num>
  <w:num w:numId="100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2C01DFD9F6DD24A9F674B50AA8E57FA" ma:contentTypeVersion="46" ma:contentTypeDescription="Create a new document." ma:contentTypeScope="" ma:versionID="623043e83ac989f9656fbdd56ffda29b">
  <xsd:schema xmlns:xsd="http://www.w3.org/2001/XMLSchema" xmlns:xs="http://www.w3.org/2001/XMLSchema" xmlns:p="http://schemas.microsoft.com/office/2006/metadata/properties" xmlns:ns1="http://schemas.microsoft.com/sharepoint/v3" xmlns:ns2="7a3cf4d3-a56d-469f-93d4-136658557b97" xmlns:ns3="230e9df3-be65-4c73-a93b-d1236ebd677e" xmlns:ns4="5df1f9f6-e088-45c6-b394-87455bc754e3" targetNamespace="http://schemas.microsoft.com/office/2006/metadata/properties" ma:root="true" ma:fieldsID="080bc953f99086adde1cfc670175e7a3" ns1:_="" ns2:_="" ns3:_="" ns4:_="">
    <xsd:import namespace="http://schemas.microsoft.com/sharepoint/v3"/>
    <xsd:import namespace="7a3cf4d3-a56d-469f-93d4-136658557b97"/>
    <xsd:import namespace="230e9df3-be65-4c73-a93b-d1236ebd677e"/>
    <xsd:import namespace="5df1f9f6-e088-45c6-b394-87455bc754e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BillingMetadata" minOccurs="0"/>
                <xsd:element ref="ns1:_ip_UnifiedCompliancePolicyProperties" minOccurs="0"/>
                <xsd:element ref="ns1:_ip_UnifiedCompliancePolicyUIAction"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CustomerName" minOccurs="0"/>
                <xsd:element ref="ns2:FixedPricingOpinion" minOccurs="0"/>
                <xsd:element ref="ns2:MostPositivefeedback" minOccurs="0"/>
                <xsd:element ref="ns2:MostNegativefeedback" minOccurs="0"/>
                <xsd:element ref="ns2:MediaServiceDocTags" minOccurs="0"/>
                <xsd:element ref="ns2:MediaLengthInSeconds" minOccurs="0"/>
                <xsd:element ref="ns2:Summary" minOccurs="0"/>
                <xsd:element ref="ns4:PrimeClassificationStatus" minOccurs="0"/>
                <xsd:element ref="ns4:PrimeClassificationStatusDetails" minOccurs="0"/>
                <xsd:element ref="ns4:PrimeLastClassified" minOccurs="0"/>
                <xsd:element ref="ns4:PrimeCorrectedByUser" minOccurs="0"/>
                <xsd:element ref="ns2:HasDigitalSignature" minOccurs="0"/>
                <xsd:element ref="ns2:DigitalSignatureProvider" minOccurs="0"/>
                <xsd:element ref="ns4:PrimeConfidenceScore" minOccurs="0"/>
                <xsd:element ref="ns4:PrimeModelURL" minOccurs="0"/>
                <xsd:element ref="ns4:PrimeModelVersion" minOccurs="0"/>
                <xsd:element ref="ns4:_ModelId" minOccurs="0"/>
                <xsd:element ref="ns2:Contract_x0020_type" minOccurs="0"/>
                <xsd:element ref="ns2:Effective_x0020_date" minOccurs="0"/>
                <xsd:element ref="ns2:Governing_x0020_law" minOccurs="0"/>
                <xsd:element ref="ns2:InvoiceDueDate" minOccurs="0"/>
                <xsd:element ref="ns2:Manual_x0020_type" minOccurs="0"/>
                <xsd:element ref="ns2:Plant_x0020_system" minOccurs="0"/>
                <xsd:element ref="ns2:Last_x0020_review_x0020_date" minOccurs="0"/>
                <xsd:element ref="ns2:Equipment_x0020_ID" minOccurs="0"/>
                <xsd:element ref="ns2:Safety_x0020_focus" minOccurs="0"/>
                <xsd:element ref="ns2:Safety_x0020_focus0" minOccurs="0"/>
                <xsd:element ref="ns2:Annual_x0020_cost0" minOccurs="0"/>
                <xsd:element ref="ns2:Industry" minOccurs="0"/>
                <xsd:element ref="ns2:Sensitivity" minOccurs="0"/>
                <xsd:element ref="ns2:Customer_x0020_Na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3" nillable="true" ma:displayName="Unified Compliance Policy Properties" ma:hidden="true" ma:internalName="_ip_UnifiedCompliancePolicyProperties">
      <xsd:simpleType>
        <xsd:restriction base="dms:Note"/>
      </xsd:simpleType>
    </xsd:element>
    <xsd:element name="_ip_UnifiedCompliancePolicyUIAction" ma:index="1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a3cf4d3-a56d-469f-93d4-136658557b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BillingMetadata" ma:index="12" nillable="true" ma:displayName="MediaServiceBillingMetadata" ma:hidden="true" ma:internalName="MediaServiceBillingMetadata"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CustomerName" ma:index="22" nillable="true" ma:displayName="Customer Name" ma:format="Dropdown" ma:internalName="CustomerName">
      <xsd:simpleType>
        <xsd:restriction base="dms:Text">
          <xsd:maxLength value="255"/>
        </xsd:restriction>
      </xsd:simpleType>
    </xsd:element>
    <xsd:element name="FixedPricingOpinion" ma:index="23" nillable="true" ma:displayName="Fixed Pricing Opinion" ma:format="Dropdown" ma:internalName="FixedPricingOpinion">
      <xsd:simpleType>
        <xsd:restriction base="dms:Text">
          <xsd:maxLength value="255"/>
        </xsd:restriction>
      </xsd:simpleType>
    </xsd:element>
    <xsd:element name="MostPositivefeedback" ma:index="24" nillable="true" ma:displayName="Most Positive feedback" ma:format="Dropdown" ma:internalName="MostPositivefeedback">
      <xsd:simpleType>
        <xsd:restriction base="dms:Text">
          <xsd:maxLength value="255"/>
        </xsd:restriction>
      </xsd:simpleType>
    </xsd:element>
    <xsd:element name="MostNegativefeedback" ma:index="25" nillable="true" ma:displayName="Most Negative feedback" ma:format="Dropdown" ma:internalName="MostNegativefeedback">
      <xsd:simpleType>
        <xsd:restriction base="dms:Text">
          <xsd:maxLength value="255"/>
        </xsd:restriction>
      </xsd:simpleType>
    </xsd:element>
    <xsd:element name="MediaServiceDocTags" ma:index="26" nillable="true" ma:displayName="MediaServiceDocTags" ma:hidden="true" ma:internalName="MediaServiceDocTags" ma:readOnly="true">
      <xsd:simpleType>
        <xsd:restriction base="dms:Note"/>
      </xsd:simpleType>
    </xsd:element>
    <xsd:element name="MediaLengthInSeconds" ma:index="27" nillable="true" ma:displayName="MediaLengthInSeconds" ma:hidden="true" ma:internalName="MediaLengthInSeconds" ma:readOnly="true">
      <xsd:simpleType>
        <xsd:restriction base="dms:Unknown"/>
      </xsd:simpleType>
    </xsd:element>
    <xsd:element name="Summary" ma:index="28" nillable="true" ma:displayName="Summary" ma:format="Dropdown" ma:internalName="Summary">
      <xsd:simpleType>
        <xsd:restriction base="dms:Text">
          <xsd:maxLength value="255"/>
        </xsd:restriction>
      </xsd:simpleType>
    </xsd:element>
    <xsd:element name="HasDigitalSignature" ma:index="33" nillable="true" ma:displayName="Signed electronically" ma:internalName="HasDigitalSignature" ma:readOnly="false">
      <xsd:simpleType>
        <xsd:restriction base="dms:Boolean"/>
      </xsd:simpleType>
    </xsd:element>
    <xsd:element name="DigitalSignatureProvider" ma:index="34" nillable="true" ma:displayName="Signature provider" ma:internalName="DigitalSignatureProvider" ma:readOnly="false">
      <xsd:simpleType>
        <xsd:restriction base="dms:Text"/>
      </xsd:simpleType>
    </xsd:element>
    <xsd:element name="Contract_x0020_type" ma:index="39" nillable="true" ma:displayName="Contract type" ma:description="Indicates the specific type of contract (e.g., Supply, Service, NDA) to enable filtering and grouping by agreement category." ma:internalName="Contract_x0020_type">
      <xsd:simpleType>
        <xsd:restriction base="dms:Text"/>
      </xsd:simpleType>
    </xsd:element>
    <xsd:element name="Effective_x0020_date" ma:index="40" nillable="true" ma:displayName="Effective date" ma:description="Captures the date the contract becomes effective to support sorting and lifecycle tracking." ma:internalName="Effective_x0020_date">
      <xsd:simpleType>
        <xsd:restriction base="dms:Text"/>
      </xsd:simpleType>
    </xsd:element>
    <xsd:element name="Governing_x0020_law" ma:index="41" nillable="true" ma:displayName="Governing law" ma:description="Specifies the jurisdiction or legal system governing the contract for legal and compliance review." ma:internalName="Governing_x0020_law">
      <xsd:simpleType>
        <xsd:restriction base="dms:Text"/>
      </xsd:simpleType>
    </xsd:element>
    <xsd:element name="InvoiceDueDate" ma:index="42" nillable="true" ma:displayName="Invoice Due Date" ma:format="DateOnly" ma:internalName="InvoiceDueDate">
      <xsd:simpleType>
        <xsd:restriction base="dms:DateTime"/>
      </xsd:simpleType>
    </xsd:element>
    <xsd:element name="Manual_x0020_type" ma:index="43" nillable="true" ma:displayName="Manual type" ma:description="Categorizes the manual by its primary purpose, aiding users in filtering and locating relevant documents." ma:internalName="Manual_x0020_type">
      <xsd:simpleType>
        <xsd:restriction base="dms:Text"/>
      </xsd:simpleType>
    </xsd:element>
    <xsd:element name="Plant_x0020_system" ma:index="44" nillable="true" ma:displayName="Plant system" ma:description="Indicates the specific plant system or process the manual addresses, supporting targeted retrieval and system-based organization." ma:internalName="Plant_x0020_system">
      <xsd:simpleType>
        <xsd:restriction base="dms:Text"/>
      </xsd:simpleType>
    </xsd:element>
    <xsd:element name="Last_x0020_review_x0020_date" ma:index="45" nillable="true" ma:displayName="Last review date" ma:description="Tracks the most recent review or update date, supporting version control and regulatory compliance." ma:internalName="Last_x0020_review_x0020_date">
      <xsd:simpleType>
        <xsd:restriction base="dms:Text"/>
      </xsd:simpleType>
    </xsd:element>
    <xsd:element name="Equipment_x0020_ID" ma:index="46" nillable="true" ma:displayName="Equipment ID" ma:description="Identifies the specific equipment or asset the manual applies to, aiding in targeted retrieval and compliance tracking." ma:internalName="Equipment_x0020_ID">
      <xsd:simpleType>
        <xsd:restriction base="dms:Text"/>
      </xsd:simpleType>
    </xsd:element>
    <xsd:element name="Safety_x0020_focus" ma:index="47" nillable="true" ma:displayName="Safety focus" ma:description="Highlights the main safety concern or protocol emphasized in the manual, supporting safety audits and quick risk assessment." ma:internalName="Safety_x0020_focus">
      <xsd:simpleType>
        <xsd:restriction base="dms:Text"/>
      </xsd:simpleType>
    </xsd:element>
    <xsd:element name="Safety_x0020_focus0" ma:index="48" nillable="true" ma:displayName="Safety focus" ma:description="Highlights the main safety concern or protocol emphasized in the manual, supporting safety audits and quick risk assessment." ma:internalName="Safety_x0020_focus0">
      <xsd:simpleType>
        <xsd:restriction base="dms:Text"/>
      </xsd:simpleType>
    </xsd:element>
    <xsd:element name="Annual_x0020_cost0" ma:index="49" nillable="true" ma:displayName="Annual cost" ma:description="Records the total estimated annual maintenance or operational cost, supporting budgeting and cost comparison across assets." ma:format="Dropdown" ma:internalName="Annual_x0020_cost0" ma:percentage="FALSE">
      <xsd:simpleType>
        <xsd:restriction base="dms:Number"/>
      </xsd:simpleType>
    </xsd:element>
    <xsd:element name="Industry" ma:index="50" nillable="true" ma:displayName="Industry" ma:internalName="Industry">
      <xsd:simpleType>
        <xsd:restriction base="dms:Text"/>
      </xsd:simpleType>
    </xsd:element>
    <xsd:element name="Sensitivity" ma:index="51" nillable="true" ma:displayName="Sensitivity" ma:format="Dropdown" ma:internalName="Sensitivity">
      <xsd:complexType>
        <xsd:complexContent>
          <xsd:extension base="dms:MultiChoice">
            <xsd:sequence>
              <xsd:element name="Value" maxOccurs="unbounded" minOccurs="0" nillable="true">
                <xsd:simpleType>
                  <xsd:restriction base="dms:Choice">
                    <xsd:enumeration value="PII"/>
                    <xsd:enumeration value="Pricing"/>
                  </xsd:restriction>
                </xsd:simpleType>
              </xsd:element>
            </xsd:sequence>
          </xsd:extension>
        </xsd:complexContent>
      </xsd:complexType>
    </xsd:element>
    <xsd:element name="Customer_x0020_Name" ma:index="52" nillable="true" ma:displayName="Customer Name" ma:description="Captures the name of the customer associated with the document for easy filtering and reporting." ma:internalName="Customer_x0020_Nam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dc7c88c8-a73c-4947-8cc9-47078070476e}" ma:internalName="TaxCatchAll" ma:showField="CatchAllData" ma:web="5df1f9f6-e088-45c6-b394-87455bc754e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5df1f9f6-e088-45c6-b394-87455bc754e3" elementFormDefault="qualified">
    <xsd:import namespace="http://schemas.microsoft.com/office/2006/documentManagement/types"/>
    <xsd:import namespace="http://schemas.microsoft.com/office/infopath/2007/PartnerControls"/>
    <xsd:element name="PrimeClassificationStatus" ma:index="29" nillable="true" ma:displayName="Processing status" ma:internalName="PrimeClassificationStatus">
      <xsd:simpleType>
        <xsd:restriction base="dms:Text"/>
      </xsd:simpleType>
    </xsd:element>
    <xsd:element name="PrimeClassificationStatusDetails" ma:index="30" nillable="true" ma:displayName="Processing details" ma:internalName="PrimeClassificationStatusDetails">
      <xsd:simpleType>
        <xsd:restriction base="dms:Note">
          <xsd:maxLength value="255"/>
        </xsd:restriction>
      </xsd:simpleType>
    </xsd:element>
    <xsd:element name="PrimeLastClassified" ma:index="31" nillable="true" ma:displayName="Processed" ma:internalName="PrimeLastClassified">
      <xsd:simpleType>
        <xsd:restriction base="dms:DateTime"/>
      </xsd:simpleType>
    </xsd:element>
    <xsd:element name="PrimeCorrectedByUser" ma:index="32" nillable="true" ma:displayName="Corrected" ma:internalName="PrimeCorrectedByUser">
      <xsd:simpleType>
        <xsd:restriction base="dms:Boolean"/>
      </xsd:simpleType>
    </xsd:element>
    <xsd:element name="PrimeConfidenceScore" ma:index="35" nillable="true" ma:displayName="Confidence Score" ma:decimals="4" ma:internalName="PrimeConfidenceScore" ma:percentage="TRUE">
      <xsd:simpleType>
        <xsd:restriction base="dms:Number"/>
      </xsd:simpleType>
    </xsd:element>
    <xsd:element name="PrimeModelURL" ma:index="36" nillable="true" ma:displayName="Model URL" ma:internalName="PrimeModelURL">
      <xsd:complexType>
        <xsd:complexContent>
          <xsd:extension base="dms:URL">
            <xsd:sequence>
              <xsd:element name="Url" type="dms:ValidUrl" minOccurs="0" nillable="true"/>
              <xsd:element name="Description" type="xsd:string" nillable="true"/>
            </xsd:sequence>
          </xsd:extension>
        </xsd:complexContent>
      </xsd:complexType>
    </xsd:element>
    <xsd:element name="PrimeModelVersion" ma:index="37" nillable="true" ma:displayName="Model Version" ma:internalName="PrimeModelVersion">
      <xsd:simpleType>
        <xsd:restriction base="dms:Text"/>
      </xsd:simpleType>
    </xsd:element>
    <xsd:element name="_ModelId" ma:index="38" nillable="true" ma:displayName="_ModelId" ma:internalName="_Model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ummary xmlns="7a3cf4d3-a56d-469f-93d4-136658557b97">NDA between NexGen Solutions and GreenStream Energy, effective 2025-07-02.</Summary>
    <_ip_UnifiedCompliancePolicyUIAction xmlns="http://schemas.microsoft.com/sharepoint/v3" xsi:nil="true"/>
    <FixedPricingOpinion xmlns="7a3cf4d3-a56d-469f-93d4-136658557b97" xsi:nil="true"/>
    <PrimeCorrectedByUser xmlns="5df1f9f6-e088-45c6-b394-87455bc754e3" xsi:nil="true"/>
    <CustomerName xmlns="7a3cf4d3-a56d-469f-93d4-136658557b97" xsi:nil="true"/>
    <PrimeClassificationStatusDetails xmlns="5df1f9f6-e088-45c6-b394-87455bc754e3" xsi:nil="true"/>
    <MostPositivefeedback xmlns="7a3cf4d3-a56d-469f-93d4-136658557b97" xsi:nil="true"/>
    <MostNegativefeedback xmlns="7a3cf4d3-a56d-469f-93d4-136658557b97" xsi:nil="true"/>
    <PrimeLastClassified xmlns="5df1f9f6-e088-45c6-b394-87455bc754e3" xsi:nil="true"/>
    <_ip_UnifiedCompliancePolicyProperties xmlns="http://schemas.microsoft.com/sharepoint/v3" xsi:nil="true"/>
    <PrimeClassificationStatus xmlns="5df1f9f6-e088-45c6-b394-87455bc754e3" xsi:nil="true"/>
    <lcf76f155ced4ddcb4097134ff3c332f xmlns="7a3cf4d3-a56d-469f-93d4-136658557b97">
      <Terms xmlns="http://schemas.microsoft.com/office/infopath/2007/PartnerControls"/>
    </lcf76f155ced4ddcb4097134ff3c332f>
    <TaxCatchAll xmlns="230e9df3-be65-4c73-a93b-d1236ebd677e" xsi:nil="true"/>
    <PrimeModelURL xmlns="5df1f9f6-e088-45c6-b394-87455bc754e3">
      <Url xsi:nil="true"/>
      <Description xsi:nil="true"/>
    </PrimeModelURL>
    <Contract_x0020_type xmlns="7a3cf4d3-a56d-469f-93d4-136658557b97" xsi:nil="true"/>
    <PrimeConfidenceScore xmlns="5df1f9f6-e088-45c6-b394-87455bc754e3" xsi:nil="true"/>
    <Last_x0020_review_x0020_date xmlns="7a3cf4d3-a56d-469f-93d4-136658557b97">2025-07-02</Last_x0020_review_x0020_date>
    <Annual_x0020_cost0 xmlns="7a3cf4d3-a56d-469f-93d4-136658557b97" xsi:nil="true"/>
    <PrimeModelVersion xmlns="5df1f9f6-e088-45c6-b394-87455bc754e3" xsi:nil="true"/>
    <Manual_x0020_type xmlns="7a3cf4d3-a56d-469f-93d4-136658557b97">Other</Manual_x0020_type>
    <Safety_x0020_focus0 xmlns="7a3cf4d3-a56d-469f-93d4-136658557b97">Not found</Safety_x0020_focus0>
    <InvoiceDueDate xmlns="7a3cf4d3-a56d-469f-93d4-136658557b97" xsi:nil="true"/>
    <Plant_x0020_system xmlns="7a3cf4d3-a56d-469f-93d4-136658557b97">Not found</Plant_x0020_system>
    <Equipment_x0020_ID xmlns="7a3cf4d3-a56d-469f-93d4-136658557b97">Not found</Equipment_x0020_ID>
    <_ModelId xmlns="5df1f9f6-e088-45c6-b394-87455bc754e3" xsi:nil="true"/>
    <Safety_x0020_focus xmlns="7a3cf4d3-a56d-469f-93d4-136658557b97">Not found</Safety_x0020_focus>
    <Governing_x0020_law xmlns="7a3cf4d3-a56d-469f-93d4-136658557b97" xsi:nil="true"/>
    <HasDigitalSignature xmlns="7a3cf4d3-a56d-469f-93d4-136658557b97" xsi:nil="true"/>
    <Effective_x0020_date xmlns="7a3cf4d3-a56d-469f-93d4-136658557b97" xsi:nil="true"/>
    <DigitalSignatureProvider xmlns="7a3cf4d3-a56d-469f-93d4-136658557b97" xsi:nil="true"/>
    <Industry xmlns="7a3cf4d3-a56d-469f-93d4-136658557b97" xsi:nil="true"/>
    <Customer_x0020_Name xmlns="7a3cf4d3-a56d-469f-93d4-136658557b97">Greenstream Energy</Customer_x0020_Name>
    <Sensitivity xmlns="7a3cf4d3-a56d-469f-93d4-136658557b97" xsi:nil="true"/>
  </documentManagement>
</p:properties>
</file>

<file path=customXml/itemProps1.xml><?xml version="1.0" encoding="utf-8"?>
<ds:datastoreItem xmlns:ds="http://schemas.openxmlformats.org/officeDocument/2006/customXml" ds:itemID="{1EA0B80D-264F-4CAE-90D7-46064AFE1CE1}"/>
</file>

<file path=customXml/itemProps2.xml><?xml version="1.0" encoding="utf-8"?>
<ds:datastoreItem xmlns:ds="http://schemas.openxmlformats.org/officeDocument/2006/customXml" ds:itemID="{AB2807C9-22AC-4DF9-9631-97B8A6414938}"/>
</file>

<file path=customXml/itemProps3.xml><?xml version="1.0" encoding="utf-8"?>
<ds:datastoreItem xmlns:ds="http://schemas.openxmlformats.org/officeDocument/2006/customXml" ds:itemID="{84D01467-E784-4319-BC22-33B6A8C5D811}"/>
</file>

<file path=docMetadata/LabelInfo.xml><?xml version="1.0" encoding="utf-8"?>
<clbl:labelList xmlns:clbl="http://schemas.microsoft.com/office/2020/mipLabelMetadata">
  <clbl:label id="{1a19d03a-48bc-4359-8038-5b5f6d5847c3}" enabled="1" method="Standard" siteId="{72f988bf-86f1-41af-91ab-2d7cd011db47}" removed="0"/>
</clbl:labelList>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2025-07-03T01:43:55Z</dcterms:created>
  <dcterms:modified xsi:type="dcterms:W3CDTF">2025-07-03T01:43:55Z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0x01010002C01DFD9F6DD24A9F674B50AA8E57FA</vt:lpwstr>
  </property>
  <property fmtid="{D5CDD505-2E9C-101B-9397-08002B2CF9AE}" pid="3" name="MediaServiceImageTags">
    <vt:lpwstr/>
  </property>
</Properties>
</file>