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 Id="rId6" Type="http://schemas.microsoft.com/office/2020/02/relationships/classificationlabels" Target="docMetadata/LabelInfo.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color="auto" w:fill="F2F2F2"/>
          </w:tcPr>
          <w:p>
            <w:r>
              <w:rPr>
                <w:b/>
                <w:sz w:val="20"/>
              </w:rPr>
              <w:t>Due Date</w:t>
            </w:r>
          </w:p>
        </w:tc>
        <w:tc>
          <w:tcPr>
            <w:tcW w:type="dxa" w:w="4680"/>
          </w:tcPr>
          <w:p>
            <w:r>
              <w:rPr>
                <w:sz w:val="20"/>
              </w:rPr>
              <w:t>March 1, 2026</w:t>
            </w:r>
          </w:p>
        </w:tc>
      </w:tr>
      <w:tr>
        <w:tc>
          <w:tcPr>
            <w:tcW w:type="dxa" w:w="4680"/>
            <w:shd w:val="clear" w:color="auto" w:fill="F2F2F2"/>
          </w:tcPr>
          <w:p>
            <w:r>
              <w:rPr>
                <w:b/>
                <w:sz w:val="20"/>
              </w:rPr>
              <w:t>Total Amount</w:t>
            </w:r>
          </w:p>
        </w:tc>
        <w:tc>
          <w:tcPr>
            <w:tcW w:type="dxa" w:w="4680"/>
          </w:tcPr>
          <w:p>
            <w:r>
              <w:rPr>
                <w:sz w:val="20"/>
              </w:rPr>
              <w:t>$75,000.00</w:t>
            </w:r>
          </w:p>
        </w:tc>
      </w:tr>
      <w:tr>
        <w:tc>
          <w:tcPr>
            <w:tcW w:type="dxa" w:w="4680"/>
            <w:shd w:val="clear" w:color="auto" w:fill="F2F2F2"/>
          </w:tcPr>
          <w:p>
            <w:r>
              <w:rPr>
                <w:b/>
                <w:sz w:val="20"/>
              </w:rPr>
              <w:t>Payment Status</w:t>
            </w:r>
          </w:p>
        </w:tc>
        <w:tc>
          <w:tcPr>
            <w:tcW w:type="dxa" w:w="4680"/>
          </w:tcPr>
          <w:p>
            <w:r>
              <w:rPr>
                <w:b/>
                <w:color w:val="C55000"/>
                <w:sz w:val="20"/>
              </w:rPr>
              <w:t>Overdue</w:t>
            </w:r>
          </w:p>
        </w:tc>
      </w:tr>
    </w:tbl>
    <w:p>
      <w:pPr>
        <w:pStyle w:val="FirstParagraph"/>
      </w:pPr>
      <w:r>
        <w:rPr>
          <w:b/>
        </w:rPr>
        <w:t xml:space="preserve">CONSULTING SERVICES AGREEMENT</w:t>
      </w:r>
    </w:p>
    <w:p>
      <w:pPr>
        <w:pStyle w:val="BodyText"/>
      </w:pPr>
      <w:r>
        <w:rPr>
          <w:b/>
        </w:rPr>
        <w:t xml:space="preserve">Project ID:</w:t>
      </w:r>
      <w:r>
        <w:t xml:space="preserve"> </w:t>
      </w:r>
      <w:r>
        <w:t xml:space="preserve">Project-52577</w:t>
      </w:r>
    </w:p>
    <w:p>
      <w:pPr>
        <w:pStyle w:val="BodyText"/>
      </w:pPr>
      <w:r>
        <w:t xml:space="preserve">This Consulting Services Agreement (</w:t>
      </w:r>
      <w:r>
        <w:t xml:space="preserve">“</w:t>
      </w:r>
      <w:r>
        <w:t xml:space="preserve">Agreement</w:t>
      </w:r>
      <w:r>
        <w:t xml:space="preserve">”</w:t>
      </w:r>
      <w:r>
        <w:t xml:space="preserve">) is entered into as of June 15, 2024 (</w:t>
      </w:r>
      <w:r>
        <w:t xml:space="preserve">“</w:t>
      </w:r>
      <w:r>
        <w:t xml:space="preserve">Effective Date</w:t>
      </w:r>
      <w:r>
        <w:t xml:space="preserve">”</w:t>
      </w:r>
      <w:r>
        <w:t xml:space="preserve">) by and between:</w:t>
      </w:r>
    </w:p>
    <w:p>
      <w:pPr>
        <w:pStyle w:val="BodyText"/>
      </w:pPr>
      <w:r>
        <w:rPr>
          <w:b/>
        </w:rPr>
        <w:t xml:space="preserve">Echelon Logistics Corp.</w:t>
      </w:r>
      <w:r>
        <w:br/>
      </w:r>
      <w:r>
        <w:t xml:space="preserve">Address: [Insert Address]</w:t>
      </w:r>
      <w:r>
        <w:br/>
      </w:r>
      <w:r>
        <w:t xml:space="preserve">(</w:t>
      </w:r>
      <w:r>
        <w:t xml:space="preserve">“</w:t>
      </w:r>
      <w:r>
        <w:t xml:space="preserve">Client</w:t>
      </w:r>
      <w:r>
        <w:t xml:space="preserve">”</w:t>
      </w:r>
      <w:r>
        <w:t xml:space="preserve">)</w:t>
      </w:r>
    </w:p>
    <w:p>
      <w:pPr>
        <w:pStyle w:val="BodyText"/>
      </w:pPr>
      <w:r>
        <w:t xml:space="preserve">and</w:t>
      </w:r>
    </w:p>
    <w:p>
      <w:pPr>
        <w:pStyle w:val="BodyText"/>
      </w:pPr>
      <w:r>
        <w:rPr>
          <w:b/>
        </w:rPr>
        <w:t xml:space="preserve">GreenStream Energy</w:t>
      </w:r>
      <w:r>
        <w:br/>
      </w:r>
      <w:r>
        <w:t xml:space="preserve">Address: [Insert Address]</w:t>
      </w:r>
      <w:r>
        <w:br/>
      </w:r>
      <w:r>
        <w:t xml:space="preserve">(</w:t>
      </w:r>
      <w:r>
        <w:t xml:space="preserve">“</w:t>
      </w:r>
      <w:r>
        <w:t xml:space="preserve">Consultant</w:t>
      </w:r>
      <w:r>
        <w:t xml:space="preserve">”</w:t>
      </w:r>
      <w:r>
        <w:t xml:space="preserve">)</w:t>
      </w:r>
    </w:p>
    <w:p>
      <w:pPr>
        <w:pStyle w:val="BodyText"/>
      </w:pPr>
      <w:r>
        <w:rPr>
          <w:b/>
        </w:rPr>
        <w:t xml:space="preserve">1. Services Provided</w:t>
      </w:r>
      <w:r>
        <w:br/>
      </w:r>
      <w:r>
        <w:t xml:space="preserve">Consultant shall provide specialized advisory services to Client in the areas of logistics optimization, energy efficiency, and supply chain sustainability, as further detailed in Exhibit A (</w:t>
      </w:r>
      <w:r>
        <w:t xml:space="preserve">“</w:t>
      </w:r>
      <w:r>
        <w:t xml:space="preserve">Services</w:t>
      </w:r>
      <w:r>
        <w:t xml:space="preserve">”</w:t>
      </w:r>
      <w:r>
        <w:t xml:space="preserve">).</w:t>
      </w:r>
    </w:p>
    <w:p>
      <w:pPr>
        <w:pStyle w:val="BodyText"/>
      </w:pPr>
      <w:r>
        <w:rPr>
          <w:b/>
        </w:rPr>
        <w:t xml:space="preserve">2. Deliverables</w:t>
      </w:r>
      <w:r>
        <w:br/>
      </w:r>
      <w:r>
        <w:t xml:space="preserve">Consultant shall deliver the following (</w:t>
      </w:r>
      <w:r>
        <w:t xml:space="preserve">“</w:t>
      </w:r>
      <w:r>
        <w:t xml:space="preserve">Deliverables</w:t>
      </w:r>
      <w:r>
        <w:t xml:space="preserve">”</w:t>
      </w:r>
      <w:r>
        <w:t xml:space="preserve">):</w:t>
      </w:r>
      <w:r>
        <w:br/>
      </w:r>
      <w:r>
        <w:t xml:space="preserve">a) Comprehensive assessment report of Client’s current logistics and energy usage.</w:t>
      </w:r>
      <w:r>
        <w:br/>
      </w:r>
      <w:r>
        <w:t xml:space="preserve">b) Strategic recommendations for process improvements and energy savings.</w:t>
      </w:r>
      <w:r>
        <w:br/>
      </w:r>
      <w:r>
        <w:t xml:space="preserve">c) Implementation roadmap and timeline.</w:t>
      </w:r>
      <w:r>
        <w:br/>
      </w:r>
      <w:r>
        <w:t xml:space="preserve">d) Final presentation summarizing findings and recommendations.</w:t>
      </w:r>
    </w:p>
    <w:p>
      <w:pPr>
        <w:pStyle w:val="BodyText"/>
      </w:pPr>
      <w:r>
        <w:rPr>
          <w:b/>
        </w:rPr>
        <w:t xml:space="preserve">3. Term of Engagement</w:t>
      </w:r>
      <w:r>
        <w:br/>
      </w:r>
      <w:r>
        <w:t xml:space="preserve">The term of this Agreement shall commence on June 15, 2024 and shall continue until September 15, 2024, unless terminated earlier in accordance with Section 10.</w:t>
      </w:r>
    </w:p>
    <w:p>
      <w:pPr>
        <w:pStyle w:val="BodyText"/>
      </w:pPr>
      <w:r>
        <w:rPr>
          <w:b/>
        </w:rPr>
        <w:t xml:space="preserve">4. Consulting Fees</w:t>
      </w:r>
      <w:r>
        <w:br/>
      </w:r>
      <w:r>
        <w:t xml:space="preserve">Consultant shall be compensated as follows (select one):</w:t>
      </w:r>
      <w:r>
        <w:br/>
      </w:r>
      <w:r>
        <w:t xml:space="preserve">-</w:t>
      </w:r>
      <w:r>
        <w:t xml:space="preserve"> </w:t>
      </w:r>
      <w:r>
        <w:rPr>
          <w:b/>
        </w:rPr>
        <w:t xml:space="preserve">Hourly Rate:</w:t>
      </w:r>
      <w:r>
        <w:t xml:space="preserve"> </w:t>
      </w:r>
      <w:r>
        <w:t xml:space="preserve">$83,549.00 per hour; or</w:t>
      </w:r>
      <w:r>
        <w:br/>
      </w:r>
      <w:r>
        <w:t xml:space="preserve">-</w:t>
      </w:r>
      <w:r>
        <w:t xml:space="preserve"> </w:t>
      </w:r>
      <w:r>
        <w:rPr>
          <w:b/>
        </w:rPr>
        <w:t xml:space="preserve">Fixed Project Fee:</w:t>
      </w:r>
      <w:r>
        <w:t xml:space="preserve"> </w:t>
      </w:r>
      <w:r>
        <w:t xml:space="preserve">$[Insert Fixed Fee Amount] (if agreed in writing by both parties).</w:t>
      </w:r>
    </w:p>
    <w:p>
      <w:pPr>
        <w:pStyle w:val="BodyText"/>
      </w:pPr>
      <w:r>
        <w:rPr>
          <w:b/>
        </w:rPr>
        <w:t xml:space="preserve">5. Payment Schedule</w:t>
      </w:r>
      <w:r>
        <w:br/>
      </w:r>
      <w:r>
        <w:t xml:space="preserve">- For hourly engagements: Consultant shall invoice Client monthly in arrears, with payment due within thirty (30) days of invoice date.</w:t>
      </w:r>
      <w:r>
        <w:br/>
      </w:r>
      <w:r>
        <w:t xml:space="preserve">- For fixed fee engagements: 50% due upon execution of this Agreement, 50% due upon delivery of final Deliverables.</w:t>
      </w:r>
    </w:p>
    <w:p>
      <w:pPr>
        <w:pStyle w:val="BodyText"/>
      </w:pPr>
      <w:r>
        <w:rPr>
          <w:b/>
        </w:rPr>
        <w:t xml:space="preserve">6. Expenses Reimbursement Policy</w:t>
      </w:r>
      <w:r>
        <w:br/>
      </w:r>
      <w:r>
        <w:t xml:space="preserve">Client shall reimburse Consultant for reasonable, pre-approved out-of-pocket expenses incurred in connection with the performance of Services, provided that Consultant submits itemized receipts and obtains prior written approval for any single expense exceeding $500.</w:t>
      </w:r>
    </w:p>
    <w:p>
      <w:pPr>
        <w:pStyle w:val="BodyText"/>
      </w:pPr>
      <w:r>
        <w:rPr>
          <w:b/>
        </w:rPr>
        <w:t xml:space="preserve">7. Confidentiality</w:t>
      </w:r>
      <w:r>
        <w:br/>
      </w:r>
      <w:r>
        <w:t xml:space="preserve">Consultant agrees to maintain the confidentiality of all non-public information received from Client and not to disclose such information to any third party without Client’s prior written consent, except as required by law. This obligation shall survive termination of this Agreement.</w:t>
      </w:r>
    </w:p>
    <w:p>
      <w:pPr>
        <w:pStyle w:val="BodyText"/>
      </w:pPr>
      <w:r>
        <w:rPr>
          <w:b/>
        </w:rPr>
        <w:t xml:space="preserve">8. Intellectual Property</w:t>
      </w:r>
      <w:r>
        <w:br/>
      </w:r>
      <w:r>
        <w:t xml:space="preserve">All intellectual property, including but not limited to reports, analyses, and recommendations, created by Consultant in connection with the Services (</w:t>
      </w:r>
      <w:r>
        <w:t xml:space="preserve">“</w:t>
      </w:r>
      <w:r>
        <w:t xml:space="preserve">Work Product</w:t>
      </w:r>
      <w:r>
        <w:t xml:space="preserve">”</w:t>
      </w:r>
      <w:r>
        <w:t xml:space="preserve">) shall be the sole and exclusive property of Client upon full payment of all fees and expenses. Consultant retains no rights to use the Work Product except as authorized in writing by Client.</w:t>
      </w:r>
    </w:p>
    <w:p>
      <w:pPr>
        <w:pStyle w:val="BodyText"/>
      </w:pPr>
      <w:r>
        <w:rPr>
          <w:b/>
        </w:rPr>
        <w:t xml:space="preserve">9. Representations and Warranties</w:t>
      </w:r>
      <w:r>
        <w:br/>
      </w:r>
      <w:r>
        <w:t xml:space="preserve">Consultant represents and warrants that:</w:t>
      </w:r>
      <w:r>
        <w:br/>
      </w:r>
      <w:r>
        <w:t xml:space="preserve">a) It has the expertise and resources to perform the Services in a professional and workmanlike manner;</w:t>
      </w:r>
      <w:r>
        <w:br/>
      </w:r>
      <w:r>
        <w:t xml:space="preserve">b) The Services and Deliverables will not infringe upon any third-party rights;</w:t>
      </w:r>
      <w:r>
        <w:br/>
      </w:r>
      <w:r>
        <w:t xml:space="preserve">c) It is duly organized and authorized to enter into this Agreement.</w:t>
      </w:r>
    </w:p>
    <w:p>
      <w:pPr>
        <w:pStyle w:val="BodyText"/>
      </w:pPr>
      <w:r>
        <w:rPr>
          <w:b/>
        </w:rPr>
        <w:t xml:space="preserve">10. Indemnification</w:t>
      </w:r>
      <w:r>
        <w:br/>
      </w:r>
      <w:r>
        <w:t xml:space="preserve">Consultant shall indemnify, defend, and hold harmless Client and its affiliates, officers, directors, and employees from and against any and all claims, damages, liabilities, costs, and expenses (including reasonable attorneys’ fees) arising out of or related to (a) Consultant’s breach of this Agreement, (b) Consultant’s negligence or willful misconduct, or (c) any claim that the Deliverables infringe upon any third-party intellectual property rights.</w:t>
      </w:r>
    </w:p>
    <w:p>
      <w:pPr>
        <w:pStyle w:val="BodyText"/>
      </w:pPr>
      <w:r>
        <w:rPr>
          <w:b/>
        </w:rPr>
        <w:t xml:space="preserve">11. Termination</w:t>
      </w:r>
      <w:r>
        <w:br/>
      </w:r>
      <w:r>
        <w:t xml:space="preserve">Either party may terminate this Agreement upon fifteen (15) days’ written notice. In the event of termination, Consultant shall be compensated for Services performed and approved expenses incurred up to the effective date of termination.</w:t>
      </w:r>
    </w:p>
    <w:p>
      <w:pPr>
        <w:pStyle w:val="BodyText"/>
      </w:pPr>
      <w:r>
        <w:rPr>
          <w:b/>
        </w:rPr>
        <w:t xml:space="preserve">12. Miscellaneous</w:t>
      </w:r>
      <w:r>
        <w:br/>
      </w:r>
      <w:r>
        <w:t xml:space="preserve">This Agreement constitutes the entire agreement between the parties with respect to the subject matter hereof and supersedes all prior agreements. Any amendments must be in writing and signed by both parties. This Agreement shall be governed by the laws of the State of [Insert State].</w:t>
      </w:r>
    </w:p>
    <w:p>
      <w:pPr>
        <w:pStyle w:val="BodyText"/>
      </w:pPr>
      <w:r>
        <w:t xml:space="preserve">IN WITNESS WHEREOF, the parties have executed this Agreement as of the Effective Date.</w:t>
      </w:r>
    </w:p>
    <w:p>
      <w:r>
        <w:pict>
          <v:rect style="width:0;height:1.5pt" o:hralign="center" o:hrstd="t" o:hr="t"/>
        </w:pict>
      </w:r>
    </w:p>
    <w:p>
      <w:pPr>
        <w:pStyle w:val="FirstParagraph"/>
      </w:pPr>
      <w:r>
        <w:t xml:space="preserve">Echelon Logistics Corp.</w:t>
      </w:r>
      <w:r>
        <w:br/>
      </w:r>
      <w:r>
        <w:t xml:space="preserve">By: ________________________</w:t>
      </w:r>
      <w:r>
        <w:br/>
      </w:r>
      <w:r>
        <w:t xml:space="preserve">Title: ______________________</w:t>
      </w:r>
      <w:r>
        <w:br/>
      </w:r>
      <w:r>
        <w:t xml:space="preserve">Date: ______________________</w:t>
      </w:r>
    </w:p>
    <w:p>
      <w:r>
        <w:pict>
          <v:rect style="width:0;height:1.5pt" o:hralign="center" o:hrstd="t" o:hr="t"/>
        </w:pict>
      </w:r>
    </w:p>
    <w:p>
      <w:pPr>
        <w:pStyle w:val="FirstParagraph"/>
      </w:pPr>
      <w:r>
        <w:t xml:space="preserve">GreenStream Energy</w:t>
      </w:r>
      <w:r>
        <w:br/>
      </w:r>
      <w:r>
        <w:t xml:space="preserve">By: ________________________</w:t>
      </w:r>
      <w:r>
        <w:br/>
      </w:r>
      <w:r>
        <w:t xml:space="preserve">Title: ______________________</w:t>
      </w:r>
      <w:r>
        <w:br/>
      </w:r>
      <w:r>
        <w:t xml:space="preserve">Date: ______________________</w:t>
      </w:r>
    </w:p>
    <w:p>
      <w:pPr>
        <w:pStyle w:val="BodyText"/>
      </w:pPr>
      <w:r>
        <w:rPr>
          <w:b/>
        </w:rPr>
        <w:t xml:space="preserve">Exhibit A: Description of Services</w:t>
      </w:r>
      <w:r>
        <w:br/>
      </w:r>
      <w:r>
        <w:t xml:space="preserve">[Attach detailed scope of work, milestones, and any additional terms as needed.]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C01DFD9F6DD24A9F674B50AA8E57FA" ma:contentTypeVersion="46" ma:contentTypeDescription="Create a new document." ma:contentTypeScope="" ma:versionID="623043e83ac989f9656fbdd56ffda29b">
  <xsd:schema xmlns:xsd="http://www.w3.org/2001/XMLSchema" xmlns:xs="http://www.w3.org/2001/XMLSchema" xmlns:p="http://schemas.microsoft.com/office/2006/metadata/properties" xmlns:ns1="http://schemas.microsoft.com/sharepoint/v3" xmlns:ns2="7a3cf4d3-a56d-469f-93d4-136658557b97" xmlns:ns3="230e9df3-be65-4c73-a93b-d1236ebd677e" xmlns:ns4="5df1f9f6-e088-45c6-b394-87455bc754e3" targetNamespace="http://schemas.microsoft.com/office/2006/metadata/properties" ma:root="true" ma:fieldsID="080bc953f99086adde1cfc670175e7a3" ns1:_="" ns2:_="" ns3:_="" ns4:_="">
    <xsd:import namespace="http://schemas.microsoft.com/sharepoint/v3"/>
    <xsd:import namespace="7a3cf4d3-a56d-469f-93d4-136658557b97"/>
    <xsd:import namespace="230e9df3-be65-4c73-a93b-d1236ebd677e"/>
    <xsd:import namespace="5df1f9f6-e088-45c6-b394-87455bc754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ustomerName" minOccurs="0"/>
                <xsd:element ref="ns2:FixedPricingOpinion" minOccurs="0"/>
                <xsd:element ref="ns2:MostPositivefeedback" minOccurs="0"/>
                <xsd:element ref="ns2:MostNegativefeedback" minOccurs="0"/>
                <xsd:element ref="ns2:MediaServiceDocTags" minOccurs="0"/>
                <xsd:element ref="ns2:MediaLengthInSeconds" minOccurs="0"/>
                <xsd:element ref="ns2:Summary" minOccurs="0"/>
                <xsd:element ref="ns4:PrimeClassificationStatus" minOccurs="0"/>
                <xsd:element ref="ns4:PrimeClassificationStatusDetails" minOccurs="0"/>
                <xsd:element ref="ns4:PrimeLastClassified" minOccurs="0"/>
                <xsd:element ref="ns4:PrimeCorrectedByUser" minOccurs="0"/>
                <xsd:element ref="ns2:HasDigitalSignature" minOccurs="0"/>
                <xsd:element ref="ns2:DigitalSignatureProvider" minOccurs="0"/>
                <xsd:element ref="ns4:PrimeConfidenceScore" minOccurs="0"/>
                <xsd:element ref="ns4:PrimeModelURL" minOccurs="0"/>
                <xsd:element ref="ns4:PrimeModelVersion" minOccurs="0"/>
                <xsd:element ref="ns4:_ModelId" minOccurs="0"/>
                <xsd:element ref="ns2:Contract_x0020_type" minOccurs="0"/>
                <xsd:element ref="ns2:Effective_x0020_date" minOccurs="0"/>
                <xsd:element ref="ns2:Governing_x0020_law" minOccurs="0"/>
                <xsd:element ref="ns2:InvoiceDueDate" minOccurs="0"/>
                <xsd:element ref="ns2:Manual_x0020_type" minOccurs="0"/>
                <xsd:element ref="ns2:Plant_x0020_system" minOccurs="0"/>
                <xsd:element ref="ns2:Last_x0020_review_x0020_date" minOccurs="0"/>
                <xsd:element ref="ns2:Equipment_x0020_ID" minOccurs="0"/>
                <xsd:element ref="ns2:Safety_x0020_focus" minOccurs="0"/>
                <xsd:element ref="ns2:Safety_x0020_focus0" minOccurs="0"/>
                <xsd:element ref="ns2:Annual_x0020_cost0" minOccurs="0"/>
                <xsd:element ref="ns2:Industry" minOccurs="0"/>
                <xsd:element ref="ns2:Sensitivity" minOccurs="0"/>
                <xsd:element ref="ns2:Customer_x0020_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3cf4d3-a56d-469f-93d4-136658557b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CustomerName" ma:index="22" nillable="true" ma:displayName="Customer Name" ma:format="Dropdown" ma:internalName="CustomerName">
      <xsd:simpleType>
        <xsd:restriction base="dms:Text">
          <xsd:maxLength value="255"/>
        </xsd:restriction>
      </xsd:simpleType>
    </xsd:element>
    <xsd:element name="FixedPricingOpinion" ma:index="23" nillable="true" ma:displayName="Fixed Pricing Opinion" ma:format="Dropdown" ma:internalName="FixedPricingOpinion">
      <xsd:simpleType>
        <xsd:restriction base="dms:Text">
          <xsd:maxLength value="255"/>
        </xsd:restriction>
      </xsd:simpleType>
    </xsd:element>
    <xsd:element name="MostPositivefeedback" ma:index="24" nillable="true" ma:displayName="Most Positive feedback" ma:format="Dropdown" ma:internalName="MostPositivefeedback">
      <xsd:simpleType>
        <xsd:restriction base="dms:Text">
          <xsd:maxLength value="255"/>
        </xsd:restriction>
      </xsd:simpleType>
    </xsd:element>
    <xsd:element name="MostNegativefeedback" ma:index="25" nillable="true" ma:displayName="Most Negative feedback" ma:format="Dropdown" ma:internalName="MostNegativefeedback">
      <xsd:simpleType>
        <xsd:restriction base="dms:Text">
          <xsd:maxLength value="255"/>
        </xsd:restriction>
      </xsd:simpleType>
    </xsd:element>
    <xsd:element name="MediaServiceDocTags" ma:index="26" nillable="true" ma:displayName="MediaServiceDocTags" ma:hidden="true" ma:internalName="MediaServiceDocTags" ma:readOnly="true">
      <xsd:simpleType>
        <xsd:restriction base="dms:Note"/>
      </xsd:simpleType>
    </xsd:element>
    <xsd:element name="MediaLengthInSeconds" ma:index="27" nillable="true" ma:displayName="MediaLengthInSeconds" ma:hidden="true" ma:internalName="MediaLengthInSeconds" ma:readOnly="true">
      <xsd:simpleType>
        <xsd:restriction base="dms:Unknown"/>
      </xsd:simpleType>
    </xsd:element>
    <xsd:element name="Summary" ma:index="28" nillable="true" ma:displayName="Summary" ma:format="Dropdown" ma:internalName="Summary">
      <xsd:simpleType>
        <xsd:restriction base="dms:Text">
          <xsd:maxLength value="255"/>
        </xsd:restriction>
      </xsd:simpleType>
    </xsd:element>
    <xsd:element name="HasDigitalSignature" ma:index="33" nillable="true" ma:displayName="Signed electronically" ma:internalName="HasDigitalSignature" ma:readOnly="false">
      <xsd:simpleType>
        <xsd:restriction base="dms:Boolean"/>
      </xsd:simpleType>
    </xsd:element>
    <xsd:element name="DigitalSignatureProvider" ma:index="34" nillable="true" ma:displayName="Signature provider" ma:internalName="DigitalSignatureProvider" ma:readOnly="false">
      <xsd:simpleType>
        <xsd:restriction base="dms:Text"/>
      </xsd:simpleType>
    </xsd:element>
    <xsd:element name="Contract_x0020_type" ma:index="39" nillable="true" ma:displayName="Contract type" ma:description="Indicates the specific type of contract (e.g., Supply, Service, NDA) to enable filtering and grouping by agreement category." ma:internalName="Contract_x0020_type">
      <xsd:simpleType>
        <xsd:restriction base="dms:Text"/>
      </xsd:simpleType>
    </xsd:element>
    <xsd:element name="Effective_x0020_date" ma:index="40" nillable="true" ma:displayName="Effective date" ma:description="Captures the date the contract becomes effective to support sorting and lifecycle tracking." ma:internalName="Effective_x0020_date">
      <xsd:simpleType>
        <xsd:restriction base="dms:Text"/>
      </xsd:simpleType>
    </xsd:element>
    <xsd:element name="Governing_x0020_law" ma:index="41" nillable="true" ma:displayName="Governing law" ma:description="Specifies the jurisdiction or legal system governing the contract for legal and compliance review." ma:internalName="Governing_x0020_law">
      <xsd:simpleType>
        <xsd:restriction base="dms:Text"/>
      </xsd:simpleType>
    </xsd:element>
    <xsd:element name="InvoiceDueDate" ma:index="42" nillable="true" ma:displayName="Invoice Due Date" ma:format="DateOnly" ma:internalName="InvoiceDueDate">
      <xsd:simpleType>
        <xsd:restriction base="dms:DateTime"/>
      </xsd:simpleType>
    </xsd:element>
    <xsd:element name="Manual_x0020_type" ma:index="43" nillable="true" ma:displayName="Manual type" ma:description="Categorizes the manual by its primary purpose, aiding users in filtering and locating relevant documents." ma:internalName="Manual_x0020_type">
      <xsd:simpleType>
        <xsd:restriction base="dms:Text"/>
      </xsd:simpleType>
    </xsd:element>
    <xsd:element name="Plant_x0020_system" ma:index="44" nillable="true" ma:displayName="Plant system" ma:description="Indicates the specific plant system or process the manual addresses, supporting targeted retrieval and system-based organization." ma:internalName="Plant_x0020_system">
      <xsd:simpleType>
        <xsd:restriction base="dms:Text"/>
      </xsd:simpleType>
    </xsd:element>
    <xsd:element name="Last_x0020_review_x0020_date" ma:index="45" nillable="true" ma:displayName="Last review date" ma:description="Tracks the most recent review or update date, supporting version control and regulatory compliance." ma:internalName="Last_x0020_review_x0020_date">
      <xsd:simpleType>
        <xsd:restriction base="dms:Text"/>
      </xsd:simpleType>
    </xsd:element>
    <xsd:element name="Equipment_x0020_ID" ma:index="46" nillable="true" ma:displayName="Equipment ID" ma:description="Identifies the specific equipment or asset the manual applies to, aiding in targeted retrieval and compliance tracking." ma:internalName="Equipment_x0020_ID">
      <xsd:simpleType>
        <xsd:restriction base="dms:Text"/>
      </xsd:simpleType>
    </xsd:element>
    <xsd:element name="Safety_x0020_focus" ma:index="47" nillable="true" ma:displayName="Safety focus" ma:description="Highlights the main safety concern or protocol emphasized in the manual, supporting safety audits and quick risk assessment." ma:internalName="Safety_x0020_focus">
      <xsd:simpleType>
        <xsd:restriction base="dms:Text"/>
      </xsd:simpleType>
    </xsd:element>
    <xsd:element name="Safety_x0020_focus0" ma:index="48" nillable="true" ma:displayName="Safety focus" ma:description="Highlights the main safety concern or protocol emphasized in the manual, supporting safety audits and quick risk assessment." ma:internalName="Safety_x0020_focus0">
      <xsd:simpleType>
        <xsd:restriction base="dms:Text"/>
      </xsd:simpleType>
    </xsd:element>
    <xsd:element name="Annual_x0020_cost0" ma:index="49" nillable="true" ma:displayName="Annual cost" ma:description="Records the total estimated annual maintenance or operational cost, supporting budgeting and cost comparison across assets." ma:format="Dropdown" ma:internalName="Annual_x0020_cost0" ma:percentage="FALSE">
      <xsd:simpleType>
        <xsd:restriction base="dms:Number"/>
      </xsd:simpleType>
    </xsd:element>
    <xsd:element name="Industry" ma:index="50" nillable="true" ma:displayName="Industry" ma:internalName="Industry">
      <xsd:simpleType>
        <xsd:restriction base="dms:Text"/>
      </xsd:simpleType>
    </xsd:element>
    <xsd:element name="Sensitivity" ma:index="51" nillable="true" ma:displayName="Sensitivity" ma:format="Dropdown" ma:internalName="Sensitivity">
      <xsd:complexType>
        <xsd:complexContent>
          <xsd:extension base="dms:MultiChoice">
            <xsd:sequence>
              <xsd:element name="Value" maxOccurs="unbounded" minOccurs="0" nillable="true">
                <xsd:simpleType>
                  <xsd:restriction base="dms:Choice">
                    <xsd:enumeration value="PII"/>
                    <xsd:enumeration value="Pricing"/>
                  </xsd:restriction>
                </xsd:simpleType>
              </xsd:element>
            </xsd:sequence>
          </xsd:extension>
        </xsd:complexContent>
      </xsd:complexType>
    </xsd:element>
    <xsd:element name="Customer_x0020_Name" ma:index="52" nillable="true" ma:displayName="Customer Name" ma:description="Captures the name of the customer associated with the document for easy filtering and reporting." ma:internalName="Customer_x0020_Nam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c7c88c8-a73c-4947-8cc9-47078070476e}" ma:internalName="TaxCatchAll" ma:showField="CatchAllData" ma:web="5df1f9f6-e088-45c6-b394-87455bc754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df1f9f6-e088-45c6-b394-87455bc754e3" elementFormDefault="qualified">
    <xsd:import namespace="http://schemas.microsoft.com/office/2006/documentManagement/types"/>
    <xsd:import namespace="http://schemas.microsoft.com/office/infopath/2007/PartnerControls"/>
    <xsd:element name="PrimeClassificationStatus" ma:index="29" nillable="true" ma:displayName="Processing status" ma:internalName="PrimeClassificationStatus">
      <xsd:simpleType>
        <xsd:restriction base="dms:Text"/>
      </xsd:simpleType>
    </xsd:element>
    <xsd:element name="PrimeClassificationStatusDetails" ma:index="30" nillable="true" ma:displayName="Processing details" ma:internalName="PrimeClassificationStatusDetails">
      <xsd:simpleType>
        <xsd:restriction base="dms:Note">
          <xsd:maxLength value="255"/>
        </xsd:restriction>
      </xsd:simpleType>
    </xsd:element>
    <xsd:element name="PrimeLastClassified" ma:index="31" nillable="true" ma:displayName="Processed" ma:internalName="PrimeLastClassified">
      <xsd:simpleType>
        <xsd:restriction base="dms:DateTime"/>
      </xsd:simpleType>
    </xsd:element>
    <xsd:element name="PrimeCorrectedByUser" ma:index="32" nillable="true" ma:displayName="Corrected" ma:internalName="PrimeCorrectedByUser">
      <xsd:simpleType>
        <xsd:restriction base="dms:Boolean"/>
      </xsd:simpleType>
    </xsd:element>
    <xsd:element name="PrimeConfidenceScore" ma:index="35" nillable="true" ma:displayName="Confidence Score" ma:decimals="4" ma:internalName="PrimeConfidenceScore" ma:percentage="TRUE">
      <xsd:simpleType>
        <xsd:restriction base="dms:Number"/>
      </xsd:simpleType>
    </xsd:element>
    <xsd:element name="PrimeModelURL" ma:index="36" nillable="true" ma:displayName="Model URL" ma:internalName="PrimeModelURL">
      <xsd:complexType>
        <xsd:complexContent>
          <xsd:extension base="dms:URL">
            <xsd:sequence>
              <xsd:element name="Url" type="dms:ValidUrl" minOccurs="0" nillable="true"/>
              <xsd:element name="Description" type="xsd:string" nillable="true"/>
            </xsd:sequence>
          </xsd:extension>
        </xsd:complexContent>
      </xsd:complexType>
    </xsd:element>
    <xsd:element name="PrimeModelVersion" ma:index="37" nillable="true" ma:displayName="Model Version" ma:internalName="PrimeModelVersion">
      <xsd:simpleType>
        <xsd:restriction base="dms:Text"/>
      </xsd:simpleType>
    </xsd:element>
    <xsd:element name="_ModelId" ma:index="38" nillable="true" ma:displayName="_ModelId" ma:internalName="_Model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ummary xmlns="7a3cf4d3-a56d-469f-93d4-136658557b97">Consulting agreement for logistics and energy advisory services.</Summary>
    <_ip_UnifiedCompliancePolicyUIAction xmlns="http://schemas.microsoft.com/sharepoint/v3" xsi:nil="true"/>
    <FixedPricingOpinion xmlns="7a3cf4d3-a56d-469f-93d4-136658557b97" xsi:nil="true"/>
    <PrimeCorrectedByUser xmlns="5df1f9f6-e088-45c6-b394-87455bc754e3" xsi:nil="true"/>
    <CustomerName xmlns="7a3cf4d3-a56d-469f-93d4-136658557b97" xsi:nil="true"/>
    <PrimeClassificationStatusDetails xmlns="5df1f9f6-e088-45c6-b394-87455bc754e3" xsi:nil="true"/>
    <MostPositivefeedback xmlns="7a3cf4d3-a56d-469f-93d4-136658557b97" xsi:nil="true"/>
    <MostNegativefeedback xmlns="7a3cf4d3-a56d-469f-93d4-136658557b97" xsi:nil="true"/>
    <PrimeLastClassified xmlns="5df1f9f6-e088-45c6-b394-87455bc754e3" xsi:nil="true"/>
    <_ip_UnifiedCompliancePolicyProperties xmlns="http://schemas.microsoft.com/sharepoint/v3" xsi:nil="true"/>
    <PrimeClassificationStatus xmlns="5df1f9f6-e088-45c6-b394-87455bc754e3" xsi:nil="true"/>
    <lcf76f155ced4ddcb4097134ff3c332f xmlns="7a3cf4d3-a56d-469f-93d4-136658557b97">
      <Terms xmlns="http://schemas.microsoft.com/office/infopath/2007/PartnerControls"/>
    </lcf76f155ced4ddcb4097134ff3c332f>
    <TaxCatchAll xmlns="230e9df3-be65-4c73-a93b-d1236ebd677e" xsi:nil="true"/>
    <PrimeModelURL xmlns="5df1f9f6-e088-45c6-b394-87455bc754e3">
      <Url xsi:nil="true"/>
      <Description xsi:nil="true"/>
    </PrimeModelURL>
    <Contract_x0020_type xmlns="7a3cf4d3-a56d-469f-93d4-136658557b97" xsi:nil="true"/>
    <PrimeConfidenceScore xmlns="5df1f9f6-e088-45c6-b394-87455bc754e3" xsi:nil="true"/>
    <Last_x0020_review_x0020_date xmlns="7a3cf4d3-a56d-469f-93d4-136658557b97">2026-04-18</Last_x0020_review_x0020_date>
    <Annual_x0020_cost0 xmlns="7a3cf4d3-a56d-469f-93d4-136658557b97">75000</Annual_x0020_cost0>
    <PrimeModelVersion xmlns="5df1f9f6-e088-45c6-b394-87455bc754e3" xsi:nil="true"/>
    <Manual_x0020_type xmlns="7a3cf4d3-a56d-469f-93d4-136658557b97">Other</Manual_x0020_type>
    <Safety_x0020_focus0 xmlns="7a3cf4d3-a56d-469f-93d4-136658557b97">Not found</Safety_x0020_focus0>
    <InvoiceDueDate xmlns="7a3cf4d3-a56d-469f-93d4-136658557b97" xsi:nil="true"/>
    <Plant_x0020_system xmlns="7a3cf4d3-a56d-469f-93d4-136658557b97">Not found</Plant_x0020_system>
    <Equipment_x0020_ID xmlns="7a3cf4d3-a56d-469f-93d4-136658557b97">Project-52577</Equipment_x0020_ID>
    <_ModelId xmlns="5df1f9f6-e088-45c6-b394-87455bc754e3" xsi:nil="true"/>
    <Safety_x0020_focus xmlns="7a3cf4d3-a56d-469f-93d4-136658557b97">Not found</Safety_x0020_focus>
    <Governing_x0020_law xmlns="7a3cf4d3-a56d-469f-93d4-136658557b97" xsi:nil="true"/>
    <HasDigitalSignature xmlns="7a3cf4d3-a56d-469f-93d4-136658557b97" xsi:nil="true"/>
    <Effective_x0020_date xmlns="7a3cf4d3-a56d-469f-93d4-136658557b97" xsi:nil="true"/>
    <DigitalSignatureProvider xmlns="7a3cf4d3-a56d-469f-93d4-136658557b97" xsi:nil="true"/>
    <Industry xmlns="7a3cf4d3-a56d-469f-93d4-136658557b97" xsi:nil="true"/>
    <Customer_x0020_Name xmlns="7a3cf4d3-a56d-469f-93d4-136658557b97">Echelon Logistics Corp.</Customer_x0020_Name>
    <Sensitivity xmlns="7a3cf4d3-a56d-469f-93d4-136658557b97" xsi:nil="true"/>
  </documentManagement>
</p:properties>
</file>

<file path=customXml/itemProps1.xml><?xml version="1.0" encoding="utf-8"?>
<ds:datastoreItem xmlns:ds="http://schemas.openxmlformats.org/officeDocument/2006/customXml" ds:itemID="{CDAD9F41-4251-4F53-B969-18EAD70F5669}"/>
</file>

<file path=customXml/itemProps2.xml><?xml version="1.0" encoding="utf-8"?>
<ds:datastoreItem xmlns:ds="http://schemas.openxmlformats.org/officeDocument/2006/customXml" ds:itemID="{37322D5B-BF4A-47C4-884B-089AE659A215}"/>
</file>

<file path=customXml/itemProps3.xml><?xml version="1.0" encoding="utf-8"?>
<ds:datastoreItem xmlns:ds="http://schemas.openxmlformats.org/officeDocument/2006/customXml" ds:itemID="{00CB3239-F5FA-4F12-BAF9-71CE0E32CE46}"/>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2025-07-03T01:47:14Z</dcterms:created>
  <dcterms:modified xsi:type="dcterms:W3CDTF">2025-07-03T01:47:14Z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0x01010002C01DFD9F6DD24A9F674B50AA8E57FA</vt:lpwstr>
  </property>
  <property fmtid="{D5CDD505-2E9C-101B-9397-08002B2CF9AE}" pid="3" name="MediaServiceImageTags">
    <vt:lpwstr/>
  </property>
</Properties>
</file>