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C9A84C"/>
          <w:spacing w:val="60"/>
          <w:sz w:val="22"/>
          <w:szCs w:val="22"/>
        </w:rPr>
        <w:t xml:space="preserve">PRODUCT REQUIREMENTS DOCUMENT</w:t>
      </w:r>
    </w:p>
    <w:p>
      <w:pPr>
        <w:spacing w:after="80"/>
      </w:pPr>
      <w:r>
        <w:rPr>
          <w:rFonts w:ascii="Arial" w:cs="Arial" w:eastAsia="Arial" w:hAnsi="Arial"/>
          <w:b/>
          <w:bCs/>
          <w:color w:val="0A1628"/>
          <w:sz w:val="60"/>
          <w:szCs w:val="60"/>
        </w:rPr>
        <w:t xml:space="preserve">sipppropertyfinance.co.uk</w:t>
      </w:r>
    </w:p>
    <w:p>
      <w:pPr>
        <w:spacing w:after="400"/>
      </w:pPr>
      <w:r>
        <w:rPr>
          <w:rFonts w:ascii="Arial" w:cs="Arial" w:eastAsia="Arial" w:hAnsi="Arial"/>
          <w:i/>
          <w:iCs/>
          <w:color w:val="1A3A6B"/>
          <w:sz w:val="28"/>
          <w:szCs w:val="28"/>
        </w:rPr>
        <w:t xml:space="preserve">UK SIPP &amp; SSAS Commercial Property Finance Platform</w:t>
      </w:r>
    </w:p>
    <w:p>
      <w:pPr>
        <w:pBdr>
          <w:bottom w:val="single" w:color="C9A84C" w:sz="12" w:space="1"/>
        </w:pBd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tcBorders>
              <w:top w:val="single" w:color="CBD5E0" w:sz="4"/>
              <w:left w:val="single" w:color="CBD5E0" w:sz="4"/>
              <w:bottom w:val="single" w:color="CBD5E0" w:sz="4"/>
              <w:right w:val="single" w:color="CBD5E0" w:sz="4"/>
            </w:tcBorders>
            <w:shd w:fill="F7F9FC" w:val="clear"/>
            <w:tcMar>
              <w:top w:type="dxa" w:w="80"/>
              <w:left w:type="dxa" w:w="120"/>
              <w:bottom w:type="dxa" w:w="80"/>
              <w:right w:type="dxa" w:w="120"/>
            </w:tcMar>
          </w:tcPr>
          <w:p>
            <w:pPr>
              <w:jc w:val="left"/>
            </w:pPr>
            <w:r>
              <w:rPr>
                <w:rFonts w:ascii="Arial" w:cs="Arial" w:eastAsia="Arial" w:hAnsi="Arial"/>
                <w:b/>
                <w:bCs/>
                <w:color w:val="0A1628"/>
                <w:sz w:val="18"/>
                <w:szCs w:val="18"/>
              </w:rPr>
              <w:t xml:space="preserve">Version</w:t>
            </w:r>
          </w:p>
        </w:tc>
        <w:tc>
          <w:tcPr>
            <w:tcW w:type="dxa" w:w="5026"/>
            <w:tcBorders>
              <w:top w:val="single" w:color="CBD5E0" w:sz="4"/>
              <w:left w:val="single" w:color="CBD5E0" w:sz="4"/>
              <w:bottom w:val="single" w:color="CBD5E0" w:sz="4"/>
              <w:right w:val="single" w:color="CBD5E0" w:sz="4"/>
            </w:tcBorders>
            <w:shd w:fill="F7F9FC"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1.0  —  Initial Release</w:t>
            </w:r>
          </w:p>
        </w:tc>
        <w:tc>
          <w:tcPr>
            <w:tcW w:type="dxa" w:w="2000"/>
            <w:tcBorders>
              <w:top w:val="single" w:color="CBD5E0" w:sz="4"/>
              <w:left w:val="single" w:color="CBD5E0" w:sz="4"/>
              <w:bottom w:val="single" w:color="CBD5E0" w:sz="4"/>
              <w:right w:val="single" w:color="CBD5E0" w:sz="4"/>
            </w:tcBorders>
            <w:shd w:fill="F7F9FC" w:val="clear"/>
            <w:tcMar>
              <w:top w:type="dxa" w:w="80"/>
              <w:left w:type="dxa" w:w="120"/>
              <w:bottom w:type="dxa" w:w="80"/>
              <w:right w:type="dxa" w:w="120"/>
            </w:tcMar>
          </w:tcPr>
          <w:p>
            <w:pPr>
              <w:jc w:val="right"/>
            </w:pPr>
            <w:r>
              <w:rPr>
                <w:rFonts w:ascii="Arial" w:cs="Arial" w:eastAsia="Arial" w:hAnsi="Arial"/>
                <w:b w:val="false"/>
                <w:bCs w:val="false"/>
                <w:color w:val="1A202C"/>
                <w:sz w:val="18"/>
                <w:szCs w:val="18"/>
              </w:rPr>
              <w:t xml:space="preserve">March 2026</w:t>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Owner</w:t>
            </w:r>
          </w:p>
        </w:tc>
        <w:tc>
          <w:tcPr>
            <w:tcW w:type="dxa" w:w="5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Construction Capital (Lenzie Consulting Ltd)</w:t>
            </w:r>
          </w:p>
        </w:tc>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right"/>
            </w:pPr>
            <w:r>
              <w:rPr>
                <w:rFonts w:ascii="Arial" w:cs="Arial" w:eastAsia="Arial" w:hAnsi="Arial"/>
                <w:b w:val="false"/>
                <w:bCs w:val="false"/>
                <w:color w:val="1A202C"/>
                <w:sz w:val="18"/>
                <w:szCs w:val="18"/>
              </w:rPr>
              <w:t xml:space="preserve">Hertfordshire, UK</w:t>
            </w:r>
          </w:p>
        </w:tc>
      </w:tr>
      <w:tr>
        <w:tc>
          <w:tcPr>
            <w:tcW w:type="dxa" w:w="2000"/>
            <w:tcBorders>
              <w:top w:val="single" w:color="CBD5E0" w:sz="4"/>
              <w:left w:val="single" w:color="CBD5E0" w:sz="4"/>
              <w:bottom w:val="single" w:color="CBD5E0" w:sz="4"/>
              <w:right w:val="single" w:color="CBD5E0" w:sz="4"/>
            </w:tcBorders>
            <w:shd w:fill="F7F9FC" w:val="clear"/>
            <w:tcMar>
              <w:top w:type="dxa" w:w="80"/>
              <w:left w:type="dxa" w:w="120"/>
              <w:bottom w:type="dxa" w:w="80"/>
              <w:right w:type="dxa" w:w="120"/>
            </w:tcMar>
          </w:tcPr>
          <w:p>
            <w:pPr>
              <w:jc w:val="left"/>
            </w:pPr>
            <w:r>
              <w:rPr>
                <w:rFonts w:ascii="Arial" w:cs="Arial" w:eastAsia="Arial" w:hAnsi="Arial"/>
                <w:b/>
                <w:bCs/>
                <w:color w:val="0A1628"/>
                <w:sz w:val="18"/>
                <w:szCs w:val="18"/>
              </w:rPr>
              <w:t xml:space="preserve">Framework</w:t>
            </w:r>
          </w:p>
        </w:tc>
        <w:tc>
          <w:tcPr>
            <w:tcW w:type="dxa" w:w="5026"/>
            <w:tcBorders>
              <w:top w:val="single" w:color="CBD5E0" w:sz="4"/>
              <w:left w:val="single" w:color="CBD5E0" w:sz="4"/>
              <w:bottom w:val="single" w:color="CBD5E0" w:sz="4"/>
              <w:right w:val="single" w:color="CBD5E0" w:sz="4"/>
            </w:tcBorders>
            <w:shd w:fill="F7F9FC"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Next.js 16 (App Router)  |  shadcn/ui  |  Tailwind CSS v4</w:t>
            </w:r>
          </w:p>
        </w:tc>
        <w:tc>
          <w:tcPr>
            <w:tcW w:type="dxa" w:w="2000"/>
            <w:tcBorders>
              <w:top w:val="single" w:color="CBD5E0" w:sz="4"/>
              <w:left w:val="single" w:color="CBD5E0" w:sz="4"/>
              <w:bottom w:val="single" w:color="CBD5E0" w:sz="4"/>
              <w:right w:val="single" w:color="CBD5E0" w:sz="4"/>
            </w:tcBorders>
            <w:shd w:fill="F7F9FC"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Design</w:t>
            </w:r>
          </w:p>
        </w:tc>
        <w:tc>
          <w:tcPr>
            <w:tcW w:type="dxa" w:w="5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Glassmorphism  |  Navy/Gold palette  |  DM Serif + DM Sans</w:t>
            </w:r>
          </w:p>
        </w:tc>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
            </w:r>
          </w:p>
        </w:tc>
      </w:tr>
      <w:tr>
        <w:tc>
          <w:tcPr>
            <w:tcW w:type="dxa" w:w="2000"/>
            <w:tcBorders>
              <w:top w:val="single" w:color="CBD5E0" w:sz="4"/>
              <w:left w:val="single" w:color="CBD5E0" w:sz="4"/>
              <w:bottom w:val="single" w:color="CBD5E0" w:sz="4"/>
              <w:right w:val="single" w:color="CBD5E0" w:sz="4"/>
            </w:tcBorders>
            <w:shd w:fill="F7F9FC" w:val="clear"/>
            <w:tcMar>
              <w:top w:type="dxa" w:w="80"/>
              <w:left w:type="dxa" w:w="120"/>
              <w:bottom w:type="dxa" w:w="80"/>
              <w:right w:type="dxa" w:w="120"/>
            </w:tcMar>
          </w:tcPr>
          <w:p>
            <w:pPr>
              <w:jc w:val="left"/>
            </w:pPr>
            <w:r>
              <w:rPr>
                <w:rFonts w:ascii="Arial" w:cs="Arial" w:eastAsia="Arial" w:hAnsi="Arial"/>
                <w:b/>
                <w:bCs/>
                <w:color w:val="0A1628"/>
                <w:sz w:val="18"/>
                <w:szCs w:val="18"/>
              </w:rPr>
              <w:t xml:space="preserve">Status</w:t>
            </w:r>
          </w:p>
        </w:tc>
        <w:tc>
          <w:tcPr>
            <w:tcW w:type="dxa" w:w="5026"/>
            <w:tcBorders>
              <w:top w:val="single" w:color="CBD5E0" w:sz="4"/>
              <w:left w:val="single" w:color="CBD5E0" w:sz="4"/>
              <w:bottom w:val="single" w:color="CBD5E0" w:sz="4"/>
              <w:right w:val="single" w:color="CBD5E0" w:sz="4"/>
            </w:tcBorders>
            <w:shd w:fill="F7F9FC"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In Specification — Not yet in development</w:t>
            </w:r>
          </w:p>
        </w:tc>
        <w:tc>
          <w:tcPr>
            <w:tcW w:type="dxa" w:w="2000"/>
            <w:tcBorders>
              <w:top w:val="single" w:color="CBD5E0" w:sz="4"/>
              <w:left w:val="single" w:color="CBD5E0" w:sz="4"/>
              <w:bottom w:val="single" w:color="CBD5E0" w:sz="4"/>
              <w:right w:val="single" w:color="CBD5E0" w:sz="4"/>
            </w:tcBorders>
            <w:shd w:fill="F7F9FC" w:val="clear"/>
            <w:tcMar>
              <w:top w:type="dxa" w:w="80"/>
              <w:left w:type="dxa" w:w="120"/>
              <w:bottom w:type="dxa" w:w="80"/>
              <w:right w:type="dxa" w:w="120"/>
            </w:tcMar>
          </w:tcPr>
          <w:p>
            <w:pPr>
              <w:jc w:val="right"/>
            </w:pPr>
            <w:r>
              <w:rPr>
                <w:rFonts w:ascii="Arial" w:cs="Arial" w:eastAsia="Arial" w:hAnsi="Arial"/>
                <w:b/>
                <w:bCs/>
                <w:color w:val="C0392B"/>
                <w:sz w:val="18"/>
                <w:szCs w:val="18"/>
              </w:rPr>
              <w:t xml:space="preserve">CONFIDENTIAL</w:t>
            </w:r>
          </w:p>
        </w:tc>
      </w:tr>
    </w:tbl>
    <w:p>
      <w:pPr>
        <w:spacing w:after="0" w:before="0"/>
      </w:pPr>
      <w:r>
        <w:t xml:space="preserve"/>
      </w:r>
    </w:p>
    <w:p>
      <w:pPr>
        <w:spacing w:after="0" w:before="0"/>
      </w:pPr>
      <w:r>
        <w:t xml:space="preserve"/>
      </w:r>
    </w:p>
    <w:p>
      <w:r>
        <w:br w:type="page"/>
      </w:r>
    </w:p>
    <w:p>
      <w:pPr>
        <w:pStyle w:val="Heading1"/>
      </w:pPr>
      <w:r>
        <w:rPr>
          <w:rFonts w:ascii="Arial" w:cs="Arial" w:eastAsia="Arial" w:hAnsi="Arial"/>
          <w:color w:val="0A1628"/>
        </w:rPr>
        <w:t xml:space="preserve">1. Executive Summary</w:t>
      </w:r>
    </w:p>
    <w:p>
      <w:pPr>
        <w:spacing w:after="100"/>
      </w:pPr>
      <w:r>
        <w:rPr>
          <w:rFonts w:ascii="Arial" w:cs="Arial" w:eastAsia="Arial" w:hAnsi="Arial"/>
          <w:b w:val="false"/>
          <w:bCs w:val="false"/>
          <w:color w:val="4A5568"/>
          <w:sz w:val="20"/>
          <w:szCs w:val="20"/>
        </w:rPr>
        <w:t xml:space="preserve">sipppropertyfinance.co.uk is a specialist lead generation and financial education platform targeting UK SIPP trustees, SSAS trustees, IFAs, and property professionals seeking commercial property finance through pension wrappers. The site is built on Next.js 16 with a glassmorphism design system and serves as the primary digital acquisition channel for Construction Capital's commercial property finance brokerage.</w:t>
      </w:r>
    </w:p>
    <w:p>
      <w:pPr>
        <w:spacing w:after="100"/>
      </w:pPr>
      <w:r>
        <w:rPr>
          <w:rFonts w:ascii="Arial" w:cs="Arial" w:eastAsia="Arial" w:hAnsi="Arial"/>
          <w:b w:val="false"/>
          <w:bCs w:val="false"/>
          <w:color w:val="4A5568"/>
          <w:sz w:val="20"/>
          <w:szCs w:val="20"/>
        </w:rPr>
        <w:t xml:space="preserve">The UK market for SIPP commercial property finance is served almost entirely by generic IFA comparison sites and law firm guides. A focused, tool-rich brokerage website targeting this niche has significant SEO upside. The primary conversion mechanism is a multi-step enquiry form routing to GoHighLevel CRM, triggering personalised Instantly.ai email sequences and broker notifications via n8n/Telegram.</w:t>
      </w:r>
    </w:p>
    <w:p>
      <w:pPr>
        <w:spacing w:after="0" w:before="0"/>
      </w:pPr>
      <w:r>
        <w:t xml:space="preserve"/>
      </w:r>
    </w:p>
    <w:tbl>
      <w:tblPr>
        <w:tblW w:type="dxa" w:w="9026"/>
        <w:tblBorders>
          <w:top w:val="single" w:color="C9A84C" w:sz="12"/>
          <w:left w:val="single" w:color="C9A84C" w:sz="12"/>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3D8" w:val="clear"/>
            <w:tcMar>
              <w:top w:type="dxa" w:w="80"/>
              <w:left w:type="dxa" w:w="160"/>
              <w:bottom w:type="dxa" w:w="80"/>
              <w:right w:type="dxa" w:w="160"/>
            </w:tcMar>
          </w:tcPr>
          <w:p>
            <w:r>
              <w:rPr>
                <w:rFonts w:ascii="Arial" w:cs="Arial" w:eastAsia="Arial" w:hAnsi="Arial"/>
                <w:i/>
                <w:iCs/>
                <w:color w:val="0A1628"/>
                <w:sz w:val="19"/>
                <w:szCs w:val="19"/>
              </w:rPr>
              <w:t xml:space="preserve">Strategic Objective: Achieve 50+ qualified SIPP/SSAS property finance enquiries per month within 6 months</w:t>
            </w:r>
          </w:p>
        </w:tc>
      </w:tr>
      <w:tr>
        <w:tc>
          <w:tcPr>
            <w:tcW w:type="dxa" w:w="9026"/>
            <w:tcBorders>
              <w:top w:val="none" w:color="FFFFFF" w:sz="0"/>
              <w:left w:val="none" w:color="FFFFFF" w:sz="0"/>
              <w:bottom w:val="none" w:color="FFFFFF" w:sz="0"/>
              <w:right w:val="none" w:color="FFFFFF" w:sz="0"/>
            </w:tcBorders>
            <w:shd w:fill="FDF3D8" w:val="clear"/>
            <w:tcMar>
              <w:top w:type="dxa" w:w="80"/>
              <w:left w:type="dxa" w:w="160"/>
              <w:bottom w:type="dxa" w:w="80"/>
              <w:right w:type="dxa" w:w="160"/>
            </w:tcMar>
          </w:tcPr>
          <w:p>
            <w:r>
              <w:rPr>
                <w:rFonts w:ascii="Arial" w:cs="Arial" w:eastAsia="Arial" w:hAnsi="Arial"/>
                <w:i/>
                <w:iCs/>
                <w:color w:val="0A1628"/>
                <w:sz w:val="19"/>
                <w:szCs w:val="19"/>
              </w:rPr>
              <w:t xml:space="preserve">of launch, and rank page 1 for the 10 primary commercial intent keywords within 12 months.</w:t>
            </w:r>
          </w:p>
        </w:tc>
      </w:tr>
    </w:tbl>
    <w:p>
      <w:pPr>
        <w:spacing w:after="0" w:before="0"/>
      </w:pPr>
      <w:r>
        <w:t xml:space="preserve"/>
      </w:r>
    </w:p>
    <w:p>
      <w:pPr>
        <w:pStyle w:val="Heading1"/>
      </w:pPr>
      <w:r>
        <w:rPr>
          <w:rFonts w:ascii="Arial" w:cs="Arial" w:eastAsia="Arial" w:hAnsi="Arial"/>
          <w:color w:val="0A1628"/>
        </w:rPr>
        <w:t xml:space="preserve">2. Goals &amp; Objectives</w:t>
      </w:r>
    </w:p>
    <w:p>
      <w:pPr>
        <w:pStyle w:val="Heading2"/>
      </w:pPr>
      <w:r>
        <w:rPr>
          <w:rFonts w:ascii="Arial" w:cs="Arial" w:eastAsia="Arial" w:hAnsi="Arial"/>
          <w:color w:val="1A3A6B"/>
        </w:rPr>
        <w:t xml:space="preserve">2.1 Primary Goals</w:t>
      </w:r>
    </w:p>
    <w:p>
      <w:pPr>
        <w:pStyle w:val="ListParagraph"/>
        <w:numPr>
          <w:ilvl w:val="0"/>
          <w:numId w:val="2"/>
        </w:numPr>
        <w:spacing w:after="60"/>
      </w:pPr>
      <w:r>
        <w:rPr>
          <w:rFonts w:ascii="Arial" w:cs="Arial" w:eastAsia="Arial" w:hAnsi="Arial"/>
          <w:color w:val="4A5568"/>
          <w:sz w:val="20"/>
          <w:szCs w:val="20"/>
        </w:rPr>
        <w:t xml:space="preserve">Rank page 1 on Google for core SIPP commercial property finance keywords within 12 months</w:t>
      </w:r>
    </w:p>
    <w:p>
      <w:pPr>
        <w:pStyle w:val="ListParagraph"/>
        <w:numPr>
          <w:ilvl w:val="0"/>
          <w:numId w:val="2"/>
        </w:numPr>
        <w:spacing w:after="60"/>
      </w:pPr>
      <w:r>
        <w:rPr>
          <w:rFonts w:ascii="Arial" w:cs="Arial" w:eastAsia="Arial" w:hAnsi="Arial"/>
          <w:color w:val="4A5568"/>
          <w:sz w:val="20"/>
          <w:szCs w:val="20"/>
        </w:rPr>
        <w:t xml:space="preserve">Generate 50+ qualified IFA/trustee enquiries per month by Month 6</w:t>
      </w:r>
    </w:p>
    <w:p>
      <w:pPr>
        <w:pStyle w:val="ListParagraph"/>
        <w:numPr>
          <w:ilvl w:val="0"/>
          <w:numId w:val="2"/>
        </w:numPr>
        <w:spacing w:after="60"/>
      </w:pPr>
      <w:r>
        <w:rPr>
          <w:rFonts w:ascii="Arial" w:cs="Arial" w:eastAsia="Arial" w:hAnsi="Arial"/>
          <w:color w:val="4A5568"/>
          <w:sz w:val="20"/>
          <w:szCs w:val="20"/>
        </w:rPr>
        <w:t xml:space="preserve">Establish Construction Capital as the go-to specialist broker in this niche</w:t>
      </w:r>
    </w:p>
    <w:p>
      <w:pPr>
        <w:pStyle w:val="ListParagraph"/>
        <w:numPr>
          <w:ilvl w:val="0"/>
          <w:numId w:val="2"/>
        </w:numPr>
        <w:spacing w:after="60"/>
      </w:pPr>
      <w:r>
        <w:rPr>
          <w:rFonts w:ascii="Arial" w:cs="Arial" w:eastAsia="Arial" w:hAnsi="Arial"/>
          <w:color w:val="4A5568"/>
          <w:sz w:val="20"/>
          <w:szCs w:val="20"/>
        </w:rPr>
        <w:t xml:space="preserve">Deploy interactive SIPP/SSAS calculators as SEO assets and lead magnets</w:t>
      </w:r>
    </w:p>
    <w:p>
      <w:pPr>
        <w:pStyle w:val="ListParagraph"/>
        <w:numPr>
          <w:ilvl w:val="0"/>
          <w:numId w:val="2"/>
        </w:numPr>
        <w:spacing w:after="60"/>
      </w:pPr>
      <w:r>
        <w:rPr>
          <w:rFonts w:ascii="Arial" w:cs="Arial" w:eastAsia="Arial" w:hAnsi="Arial"/>
          <w:color w:val="4A5568"/>
          <w:sz w:val="20"/>
          <w:szCs w:val="20"/>
        </w:rPr>
        <w:t xml:space="preserve">Integrate all leads into GoHighLevel CRM with Instantly.ai nurture sequences</w:t>
      </w:r>
    </w:p>
    <w:p>
      <w:pPr>
        <w:spacing w:after="0" w:before="0"/>
      </w:pPr>
      <w:r>
        <w:t xml:space="preserve"/>
      </w:r>
    </w:p>
    <w:p>
      <w:pPr>
        <w:pStyle w:val="Heading2"/>
      </w:pPr>
      <w:r>
        <w:rPr>
          <w:rFonts w:ascii="Arial" w:cs="Arial" w:eastAsia="Arial" w:hAnsi="Arial"/>
          <w:color w:val="1A3A6B"/>
        </w:rPr>
        <w:t xml:space="preserve">2.2 Secondary Goals</w:t>
      </w:r>
    </w:p>
    <w:p>
      <w:pPr>
        <w:pStyle w:val="ListParagraph"/>
        <w:numPr>
          <w:ilvl w:val="0"/>
          <w:numId w:val="2"/>
        </w:numPr>
        <w:spacing w:after="60"/>
      </w:pPr>
      <w:r>
        <w:rPr>
          <w:rFonts w:ascii="Arial" w:cs="Arial" w:eastAsia="Arial" w:hAnsi="Arial"/>
          <w:color w:val="4A5568"/>
          <w:sz w:val="20"/>
          <w:szCs w:val="20"/>
        </w:rPr>
        <w:t xml:space="preserve">Build a topical authority content cluster of 50+ SEO articles</w:t>
      </w:r>
    </w:p>
    <w:p>
      <w:pPr>
        <w:pStyle w:val="ListParagraph"/>
        <w:numPr>
          <w:ilvl w:val="0"/>
          <w:numId w:val="2"/>
        </w:numPr>
        <w:spacing w:after="60"/>
      </w:pPr>
      <w:r>
        <w:rPr>
          <w:rFonts w:ascii="Arial" w:cs="Arial" w:eastAsia="Arial" w:hAnsi="Arial"/>
          <w:color w:val="4A5568"/>
          <w:sz w:val="20"/>
          <w:szCs w:val="20"/>
        </w:rPr>
        <w:t xml:space="preserve">Cross-promote Alltrust Services (SIPP/SSAS provider) and Developers Community</w:t>
      </w:r>
    </w:p>
    <w:p>
      <w:pPr>
        <w:pStyle w:val="ListParagraph"/>
        <w:numPr>
          <w:ilvl w:val="0"/>
          <w:numId w:val="2"/>
        </w:numPr>
        <w:spacing w:after="60"/>
      </w:pPr>
      <w:r>
        <w:rPr>
          <w:rFonts w:ascii="Arial" w:cs="Arial" w:eastAsia="Arial" w:hAnsi="Arial"/>
          <w:color w:val="4A5568"/>
          <w:sz w:val="20"/>
          <w:szCs w:val="20"/>
        </w:rPr>
        <w:t xml:space="preserve">Deliver a programmatic city/property-type page layer for long-tail SEO</w:t>
      </w:r>
    </w:p>
    <w:p>
      <w:pPr>
        <w:pStyle w:val="ListParagraph"/>
        <w:numPr>
          <w:ilvl w:val="0"/>
          <w:numId w:val="2"/>
        </w:numPr>
        <w:spacing w:after="60"/>
      </w:pPr>
      <w:r>
        <w:rPr>
          <w:rFonts w:ascii="Arial" w:cs="Arial" w:eastAsia="Arial" w:hAnsi="Arial"/>
          <w:color w:val="4A5568"/>
          <w:sz w:val="20"/>
          <w:szCs w:val="20"/>
        </w:rPr>
        <w:t xml:space="preserve">Achieve 5,000+ organic monthly visits within 12 months of launch</w:t>
      </w:r>
    </w:p>
    <w:p>
      <w:pPr>
        <w:pStyle w:val="ListParagraph"/>
        <w:numPr>
          <w:ilvl w:val="0"/>
          <w:numId w:val="2"/>
        </w:numPr>
        <w:spacing w:after="60"/>
      </w:pPr>
      <w:r>
        <w:rPr>
          <w:rFonts w:ascii="Arial" w:cs="Arial" w:eastAsia="Arial" w:hAnsi="Arial"/>
          <w:color w:val="4A5568"/>
          <w:sz w:val="20"/>
          <w:szCs w:val="20"/>
        </w:rPr>
        <w:t xml:space="preserve">Maintain 90+ Core Web Vitals score across all pages</w:t>
      </w:r>
    </w:p>
    <w:p>
      <w:pPr>
        <w:spacing w:after="0" w:before="0"/>
      </w:pPr>
      <w:r>
        <w:t xml:space="preserve"/>
      </w:r>
    </w:p>
    <w:p>
      <w:pPr>
        <w:pStyle w:val="Heading1"/>
      </w:pPr>
      <w:r>
        <w:rPr>
          <w:rFonts w:ascii="Arial" w:cs="Arial" w:eastAsia="Arial" w:hAnsi="Arial"/>
          <w:color w:val="0A1628"/>
        </w:rPr>
        <w:t xml:space="preserve">3. User Personas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Persona</w:t>
            </w:r>
          </w:p>
        </w:tc>
        <w:tc>
          <w:tcPr>
            <w:tcW w:type="dxa" w:w="38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32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Behaviour Notes</w:t>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IFA / Pension Adviser</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Advises clients on using SIPP funds for commercial property. Needs lender comparisons, LTV tables, and compliant case studies.</w:t>
            </w:r>
          </w:p>
        </w:tc>
        <w:tc>
          <w:tcPr>
            <w:tcW w:type="dxa" w:w="3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High-value referrer. Needs FCA credibility signals. Will share indicative terms with clients.</w:t>
            </w:r>
          </w:p>
        </w:tc>
      </w:tr>
      <w:tr>
        <w:tc>
          <w:tcPr>
            <w:tcW w:type="dxa" w:w="2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Trustee / Director</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Business owner or property professional with a self-invested pension seeking to acquire commercial premises or an investment property.</w:t>
            </w:r>
          </w:p>
        </w:tc>
        <w:tc>
          <w:tcPr>
            <w:tcW w:type="dxa" w:w="3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Primary direct lead. May be self-researching. Calculator tools are key engagement triggers.</w:t>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SSAS Trustee</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Small self-administered scheme trustee exploring development finance or commercial investment loans. Understands structured products.</w:t>
            </w:r>
          </w:p>
        </w:tc>
        <w:tc>
          <w:tcPr>
            <w:tcW w:type="dxa" w:w="3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Sophisticated user. High average loan size. Needs SSAS-specific content and loanback calculator.</w:t>
            </w:r>
          </w:p>
        </w:tc>
      </w:tr>
      <w:tr>
        <w:tc>
          <w:tcPr>
            <w:tcW w:type="dxa" w:w="2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Commercial Property Investor</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Investor researching whether a SIPP wrapper makes strategic sense for their next commercial acquisition.</w:t>
            </w:r>
          </w:p>
        </w:tc>
        <w:tc>
          <w:tcPr>
            <w:tcW w:type="dxa" w:w="3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Longer nurture cycle. Blog content and guides are primary entry points.</w:t>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Solicitor / Accountant</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Professional adviser seeking a specialist commercial finance broker to refer SIPP-holding clients to. Values compliance credentials.</w:t>
            </w:r>
          </w:p>
        </w:tc>
        <w:tc>
          <w:tcPr>
            <w:tcW w:type="dxa" w:w="3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Referral partner. Needs a dedicated professional referral form and clear FCA disclosures.</w:t>
            </w:r>
          </w:p>
        </w:tc>
      </w:tr>
      <w:tr>
        <w:tc>
          <w:tcPr>
            <w:tcW w:type="dxa" w:w="2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Developer / Occupier</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Developer seeking a SIPP-funded tenant-purchaser or business owner building commercial premises inside their pension.</w:t>
            </w:r>
          </w:p>
        </w:tc>
        <w:tc>
          <w:tcPr>
            <w:tcW w:type="dxa" w:w="3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Niche but high-value. Likely to originate from long-tail property type searches.</w:t>
            </w:r>
          </w:p>
        </w:tc>
      </w:tr>
    </w:tbl>
    <w:p>
      <w:pPr>
        <w:spacing w:after="0" w:before="0"/>
      </w:pPr>
      <w:r>
        <w:t xml:space="preserve"/>
      </w:r>
    </w:p>
    <w:p>
      <w:r>
        <w:br w:type="page"/>
      </w:r>
    </w:p>
    <w:p>
      <w:pPr>
        <w:pStyle w:val="Heading1"/>
      </w:pPr>
      <w:r>
        <w:rPr>
          <w:rFonts w:ascii="Arial" w:cs="Arial" w:eastAsia="Arial" w:hAnsi="Arial"/>
          <w:color w:val="0A1628"/>
        </w:rPr>
        <w:t xml:space="preserve">4. Site Architecture &amp; Page Routes</w:t>
      </w:r>
    </w:p>
    <w:p>
      <w:pPr>
        <w:pStyle w:val="Heading2"/>
      </w:pPr>
      <w:r>
        <w:rPr>
          <w:rFonts w:ascii="Arial" w:cs="Arial" w:eastAsia="Arial" w:hAnsi="Arial"/>
          <w:color w:val="1A3A6B"/>
        </w:rPr>
        <w:t xml:space="preserve">4.1 Core Routes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Route</w:t>
            </w:r>
          </w:p>
        </w:tc>
        <w:tc>
          <w:tcPr>
            <w:tcW w:type="dxa" w:w="30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Page Name</w:t>
            </w:r>
          </w:p>
        </w:tc>
        <w:tc>
          <w:tcPr>
            <w:tcW w:type="dxa" w:w="30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Priority &amp; Notes</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w:t>
            </w:r>
          </w:p>
        </w:tc>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Homepage</w:t>
            </w:r>
          </w:p>
        </w:tc>
        <w:tc>
          <w:tcPr>
            <w:tcW w:type="dxa" w:w="3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P0 — Hero, calculators, lead form, lender panel, FAQ</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/sipp-property-mortgage</w:t>
            </w:r>
          </w:p>
        </w:tc>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Mortgage Product Page</w:t>
            </w:r>
          </w:p>
        </w:tc>
        <w:tc>
          <w:tcPr>
            <w:tcW w:type="dxa" w:w="3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P0 — Primary commercial product page</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/ssas-property-finance</w:t>
            </w:r>
          </w:p>
        </w:tc>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SSAS Finance Product Page</w:t>
            </w:r>
          </w:p>
        </w:tc>
        <w:tc>
          <w:tcPr>
            <w:tcW w:type="dxa" w:w="3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P0 — SSAS loanback and investment loans</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/commercial-property-sipp</w:t>
            </w:r>
          </w:p>
        </w:tc>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Permitted Property Guide</w:t>
            </w:r>
          </w:p>
        </w:tc>
        <w:tc>
          <w:tcPr>
            <w:tcW w:type="dxa" w:w="3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P0 — HMRC rules, permitted types, restrictions</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/sipp-mortgage-calculator</w:t>
            </w:r>
          </w:p>
        </w:tc>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Mortgage Calculator</w:t>
            </w:r>
          </w:p>
        </w:tc>
        <w:tc>
          <w:tcPr>
            <w:tcW w:type="dxa" w:w="3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P0 — Full amortisation calculator</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/sipp-ltv-calculator</w:t>
            </w:r>
          </w:p>
        </w:tc>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LTV Calculator</w:t>
            </w:r>
          </w:p>
        </w:tc>
        <w:tc>
          <w:tcPr>
            <w:tcW w:type="dxa" w:w="3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P0 — 50% LTV cap calculator</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/ssas-loan-calculator</w:t>
            </w:r>
          </w:p>
        </w:tc>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SSAS Loanback Calculator</w:t>
            </w:r>
          </w:p>
        </w:tc>
        <w:tc>
          <w:tcPr>
            <w:tcW w:type="dxa" w:w="3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P1 — HMRC 5-year rule logic</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/rental-yield-calculator</w:t>
            </w:r>
          </w:p>
        </w:tc>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Rental Yield Calculator</w:t>
            </w:r>
          </w:p>
        </w:tc>
        <w:tc>
          <w:tcPr>
            <w:tcW w:type="dxa" w:w="3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P1 — Gross/net yield within SIPP</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/sipp-stamp-duty-calculator</w:t>
            </w:r>
          </w:p>
        </w:tc>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Stamp Duty (SIPP) Calculator</w:t>
            </w:r>
          </w:p>
        </w:tc>
        <w:tc>
          <w:tcPr>
            <w:tcW w:type="dxa" w:w="3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P2 — SDLT with 3% surcharge logic</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/lenders</w:t>
            </w:r>
          </w:p>
        </w:tc>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Lender Panel</w:t>
            </w:r>
          </w:p>
        </w:tc>
        <w:tc>
          <w:tcPr>
            <w:tcW w:type="dxa" w:w="3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P1 — Filterable SIPP mortgage lender table</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/case-studies</w:t>
            </w:r>
          </w:p>
        </w:tc>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Case Study Library</w:t>
            </w:r>
          </w:p>
        </w:tc>
        <w:tc>
          <w:tcPr>
            <w:tcW w:type="dxa" w:w="3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P1 — Filterable by property type and loan size</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/guides</w:t>
            </w:r>
          </w:p>
        </w:tc>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Finance Guide Hub</w:t>
            </w:r>
          </w:p>
        </w:tc>
        <w:tc>
          <w:tcPr>
            <w:tcW w:type="dxa" w:w="3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P1 — Pillar guides and cluster articles</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/blog/[slug]</w:t>
            </w:r>
          </w:p>
        </w:tc>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Blog Posts</w:t>
            </w:r>
          </w:p>
        </w:tc>
        <w:tc>
          <w:tcPr>
            <w:tcW w:type="dxa" w:w="3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P2 — Contentlayer MDX, 50+ articles</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/contact</w:t>
            </w:r>
          </w:p>
        </w:tc>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Contact &amp; IFA Referral</w:t>
            </w:r>
          </w:p>
        </w:tc>
        <w:tc>
          <w:tcPr>
            <w:tcW w:type="dxa" w:w="3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P0 — Multi-step form and Calendly integration</w:t>
            </w:r>
          </w:p>
        </w:tc>
      </w:tr>
    </w:tbl>
    <w:p>
      <w:pPr>
        <w:spacing w:after="0" w:before="0"/>
      </w:pPr>
      <w:r>
        <w:t xml:space="preserve"/>
      </w:r>
    </w:p>
    <w:p>
      <w:pPr>
        <w:pStyle w:val="Heading2"/>
      </w:pPr>
      <w:r>
        <w:rPr>
          <w:rFonts w:ascii="Arial" w:cs="Arial" w:eastAsia="Arial" w:hAnsi="Arial"/>
          <w:color w:val="1A3A6B"/>
        </w:rPr>
        <w:t xml:space="preserve">4.2 Homepage Sections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426"/>
      </w:tblGrid>
      <w:tr>
        <w:trPr>
          <w:tblHeader/>
        </w:trPr>
        <w:tc>
          <w:tcPr>
            <w:tcW w:type="dxa" w:w="4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22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Section</w:t>
            </w:r>
          </w:p>
        </w:tc>
        <w:tc>
          <w:tcPr>
            <w:tcW w:type="dxa" w:w="64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Detail</w:t>
            </w:r>
          </w:p>
        </w:tc>
      </w:tr>
      <w:tr>
        <w:tc>
          <w:tcPr>
            <w:tcW w:type="dxa" w:w="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1</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Hero</w:t>
            </w:r>
          </w:p>
        </w:tc>
        <w:tc>
          <w:tcPr>
            <w:tcW w:type="dxa" w:w="6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Glassmorphism headline, animated background, primary and secondary CTAs, trust badges</w:t>
            </w:r>
          </w:p>
        </w:tc>
      </w:tr>
      <w:tr>
        <w:tc>
          <w:tcPr>
            <w:tcW w:type="dxa" w:w="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2</w:t>
            </w:r>
          </w:p>
        </w:tc>
        <w:tc>
          <w:tcPr>
            <w:tcW w:type="dxa" w:w="22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Trust Bar</w:t>
            </w:r>
          </w:p>
        </w:tc>
        <w:tc>
          <w:tcPr>
            <w:tcW w:type="dxa" w:w="64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FCA logo, HMRC link, lender logos, years experience, total lent figure</w:t>
            </w:r>
          </w:p>
        </w:tc>
      </w:tr>
      <w:tr>
        <w:tc>
          <w:tcPr>
            <w:tcW w:type="dxa" w:w="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3</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Product Cards</w:t>
            </w:r>
          </w:p>
        </w:tc>
        <w:tc>
          <w:tcPr>
            <w:tcW w:type="dxa" w:w="6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mortgage, SSAS loan, SIPP bridging — key stats and CTAs</w:t>
            </w:r>
          </w:p>
        </w:tc>
      </w:tr>
      <w:tr>
        <w:tc>
          <w:tcPr>
            <w:tcW w:type="dxa" w:w="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4</w:t>
            </w:r>
          </w:p>
        </w:tc>
        <w:tc>
          <w:tcPr>
            <w:tcW w:type="dxa" w:w="22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Quick Calculator</w:t>
            </w:r>
          </w:p>
        </w:tc>
        <w:tc>
          <w:tcPr>
            <w:tcW w:type="dxa" w:w="64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Embedded SIPP LTV calculator widget above the fold</w:t>
            </w:r>
          </w:p>
        </w:tc>
      </w:tr>
      <w:tr>
        <w:tc>
          <w:tcPr>
            <w:tcW w:type="dxa" w:w="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5</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How It Works</w:t>
            </w:r>
          </w:p>
        </w:tc>
        <w:tc>
          <w:tcPr>
            <w:tcW w:type="dxa" w:w="6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4-step animated process: Enquiry, Assessment, Lender Match, Completion</w:t>
            </w:r>
          </w:p>
        </w:tc>
      </w:tr>
      <w:tr>
        <w:tc>
          <w:tcPr>
            <w:tcW w:type="dxa" w:w="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6</w:t>
            </w:r>
          </w:p>
        </w:tc>
        <w:tc>
          <w:tcPr>
            <w:tcW w:type="dxa" w:w="22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Permitted Property Types</w:t>
            </w:r>
          </w:p>
        </w:tc>
        <w:tc>
          <w:tcPr>
            <w:tcW w:type="dxa" w:w="64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Interactive grid with HMRC permitted/not permitted status</w:t>
            </w:r>
          </w:p>
        </w:tc>
      </w:tr>
      <w:tr>
        <w:tc>
          <w:tcPr>
            <w:tcW w:type="dxa" w:w="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7</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Case Study Strip</w:t>
            </w:r>
          </w:p>
        </w:tc>
        <w:tc>
          <w:tcPr>
            <w:tcW w:type="dxa" w:w="6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3 featured case studies with property type, LTV, and outcome</w:t>
            </w:r>
          </w:p>
        </w:tc>
      </w:tr>
      <w:tr>
        <w:tc>
          <w:tcPr>
            <w:tcW w:type="dxa" w:w="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8</w:t>
            </w:r>
          </w:p>
        </w:tc>
        <w:tc>
          <w:tcPr>
            <w:tcW w:type="dxa" w:w="22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Lender Panel</w:t>
            </w:r>
          </w:p>
        </w:tc>
        <w:tc>
          <w:tcPr>
            <w:tcW w:type="dxa" w:w="64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Specialist SIPP lender names with key criteria summary</w:t>
            </w:r>
          </w:p>
        </w:tc>
      </w:tr>
      <w:tr>
        <w:tc>
          <w:tcPr>
            <w:tcW w:type="dxa" w:w="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9</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FAQ Accordion</w:t>
            </w:r>
          </w:p>
        </w:tc>
        <w:tc>
          <w:tcPr>
            <w:tcW w:type="dxa" w:w="6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property finance rules with FAQPage JSON-LD schema</w:t>
            </w:r>
          </w:p>
        </w:tc>
      </w:tr>
      <w:tr>
        <w:tc>
          <w:tcPr>
            <w:tcW w:type="dxa" w:w="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10</w:t>
            </w:r>
          </w:p>
        </w:tc>
        <w:tc>
          <w:tcPr>
            <w:tcW w:type="dxa" w:w="22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Lead Capture Form</w:t>
            </w:r>
          </w:p>
        </w:tc>
        <w:tc>
          <w:tcPr>
            <w:tcW w:type="dxa" w:w="64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"Get Indicative Terms" multi-step enquiry form with GHL integration</w:t>
            </w:r>
          </w:p>
        </w:tc>
      </w:tr>
      <w:tr>
        <w:tc>
          <w:tcPr>
            <w:tcW w:type="dxa" w:w="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11</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Footer</w:t>
            </w:r>
          </w:p>
        </w:tc>
        <w:tc>
          <w:tcPr>
            <w:tcW w:type="dxa" w:w="6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Sitemap, FCA disclaimer, ICO number, privacy policy, contact details</w:t>
            </w:r>
          </w:p>
        </w:tc>
      </w:tr>
    </w:tbl>
    <w:p>
      <w:pPr>
        <w:spacing w:after="0" w:before="0"/>
      </w:pPr>
      <w:r>
        <w:t xml:space="preserve"/>
      </w:r>
    </w:p>
    <w:p>
      <w:r>
        <w:br w:type="page"/>
      </w:r>
    </w:p>
    <w:p>
      <w:pPr>
        <w:pStyle w:val="Heading1"/>
      </w:pPr>
      <w:r>
        <w:rPr>
          <w:rFonts w:ascii="Arial" w:cs="Arial" w:eastAsia="Arial" w:hAnsi="Arial"/>
          <w:color w:val="0A1628"/>
        </w:rPr>
        <w:t xml:space="preserve">5. Feature Specifications</w:t>
      </w:r>
    </w:p>
    <w:p>
      <w:pPr>
        <w:pStyle w:val="Heading2"/>
      </w:pPr>
      <w:r>
        <w:rPr>
          <w:rFonts w:ascii="Arial" w:cs="Arial" w:eastAsia="Arial" w:hAnsi="Arial"/>
          <w:color w:val="1A3A6B"/>
        </w:rPr>
        <w:t xml:space="preserve">5.1 Design System — Glassmorphism</w:t>
      </w:r>
    </w:p>
    <w:p>
      <w:pPr>
        <w:spacing w:after="100"/>
      </w:pPr>
      <w:r>
        <w:rPr>
          <w:rFonts w:ascii="Arial" w:cs="Arial" w:eastAsia="Arial" w:hAnsi="Arial"/>
          <w:b w:val="false"/>
          <w:bCs w:val="false"/>
          <w:color w:val="4A5568"/>
          <w:sz w:val="20"/>
          <w:szCs w:val="20"/>
        </w:rPr>
        <w:t xml:space="preserve">The visual identity is built on a deep navy base with gold accent. Glass cards use backdrop-filter: blur(20px) with rgba white overlays and subtle 1px border highlighting. The design references premium UK financial institutions — authoritative, not aggressive.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Design Token</w:t>
            </w:r>
          </w:p>
        </w:tc>
        <w:tc>
          <w:tcPr>
            <w:tcW w:type="dxa" w:w="60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Value</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Background base</w:t>
            </w:r>
          </w:p>
        </w:tc>
        <w:tc>
          <w:tcPr>
            <w:tcW w:type="dxa" w:w="6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#0A1628 (deep navy)</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Background mid</w:t>
            </w:r>
          </w:p>
        </w:tc>
        <w:tc>
          <w:tcPr>
            <w:tcW w:type="dxa" w:w="6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#0F2040</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Glass card background</w:t>
            </w:r>
          </w:p>
        </w:tc>
        <w:tc>
          <w:tcPr>
            <w:tcW w:type="dxa" w:w="6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rgba(255,255,255,0.05) + backdrop-filter: blur(20px)</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Glass card border</w:t>
            </w:r>
          </w:p>
        </w:tc>
        <w:tc>
          <w:tcPr>
            <w:tcW w:type="dxa" w:w="6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rgba(255,255,255,0.12)</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Primary accent</w:t>
            </w:r>
          </w:p>
        </w:tc>
        <w:tc>
          <w:tcPr>
            <w:tcW w:type="dxa" w:w="6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#C9A84C (gold)</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Secondary accent</w:t>
            </w:r>
          </w:p>
        </w:tc>
        <w:tc>
          <w:tcPr>
            <w:tcW w:type="dxa" w:w="6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#5B9CF6 (blue)</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Heading font</w:t>
            </w:r>
          </w:p>
        </w:tc>
        <w:tc>
          <w:tcPr>
            <w:tcW w:type="dxa" w:w="6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DM Serif Display (headings) / DM Sans (UI text)</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Body font</w:t>
            </w:r>
          </w:p>
        </w:tc>
        <w:tc>
          <w:tcPr>
            <w:tcW w:type="dxa" w:w="6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DM Sans 400/500</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Monospace font</w:t>
            </w:r>
          </w:p>
        </w:tc>
        <w:tc>
          <w:tcPr>
            <w:tcW w:type="dxa" w:w="6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JetBrains Mono (calculators, code)</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Card border radius</w:t>
            </w:r>
          </w:p>
        </w:tc>
        <w:tc>
          <w:tcPr>
            <w:tcW w:type="dxa" w:w="6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16px</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Button border radius</w:t>
            </w:r>
          </w:p>
        </w:tc>
        <w:tc>
          <w:tcPr>
            <w:tcW w:type="dxa" w:w="6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8px</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Animation library</w:t>
            </w:r>
          </w:p>
        </w:tc>
        <w:tc>
          <w:tcPr>
            <w:tcW w:type="dxa" w:w="6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Framer Motion 11</w:t>
            </w:r>
          </w:p>
        </w:tc>
      </w:tr>
    </w:tbl>
    <w:p>
      <w:pPr>
        <w:spacing w:after="0" w:before="0"/>
      </w:pPr>
      <w:r>
        <w:t xml:space="preserve"/>
      </w:r>
    </w:p>
    <w:p>
      <w:pPr>
        <w:pStyle w:val="Heading2"/>
      </w:pPr>
      <w:r>
        <w:rPr>
          <w:rFonts w:ascii="Arial" w:cs="Arial" w:eastAsia="Arial" w:hAnsi="Arial"/>
          <w:color w:val="1A3A6B"/>
        </w:rPr>
        <w:t xml:space="preserve">5.2 Lead Capture System</w:t>
      </w:r>
    </w:p>
    <w:p>
      <w:pPr>
        <w:spacing w:after="100"/>
      </w:pPr>
      <w:r>
        <w:rPr>
          <w:rFonts w:ascii="Arial" w:cs="Arial" w:eastAsia="Arial" w:hAnsi="Arial"/>
          <w:b w:val="false"/>
          <w:bCs w:val="false"/>
          <w:color w:val="4A5568"/>
          <w:sz w:val="20"/>
          <w:szCs w:val="20"/>
        </w:rPr>
        <w:t xml:space="preserve">All enquiry paths converge on a GoHighLevel pipeline. On form submission:</w:t>
      </w:r>
    </w:p>
    <w:p>
      <w:pPr>
        <w:pStyle w:val="ListParagraph"/>
        <w:numPr>
          <w:ilvl w:val="0"/>
          <w:numId w:val="2"/>
        </w:numPr>
        <w:spacing w:after="60"/>
      </w:pPr>
      <w:r>
        <w:rPr>
          <w:rFonts w:ascii="Arial" w:cs="Arial" w:eastAsia="Arial" w:hAnsi="Arial"/>
          <w:color w:val="4A5568"/>
          <w:sz w:val="20"/>
          <w:szCs w:val="20"/>
        </w:rPr>
        <w:t xml:space="preserve">GHL contact created with all form fields mapped to custom fields</w:t>
      </w:r>
    </w:p>
    <w:p>
      <w:pPr>
        <w:pStyle w:val="ListParagraph"/>
        <w:numPr>
          <w:ilvl w:val="0"/>
          <w:numId w:val="2"/>
        </w:numPr>
        <w:spacing w:after="60"/>
      </w:pPr>
      <w:r>
        <w:rPr>
          <w:rFonts w:ascii="Arial" w:cs="Arial" w:eastAsia="Arial" w:hAnsi="Arial"/>
          <w:color w:val="4A5568"/>
          <w:sz w:val="20"/>
          <w:szCs w:val="20"/>
        </w:rPr>
        <w:t xml:space="preserve">Pipeline stage set to "New SIPP Enquiry"</w:t>
      </w:r>
    </w:p>
    <w:p>
      <w:pPr>
        <w:pStyle w:val="ListParagraph"/>
        <w:numPr>
          <w:ilvl w:val="0"/>
          <w:numId w:val="2"/>
        </w:numPr>
        <w:spacing w:after="60"/>
      </w:pPr>
      <w:r>
        <w:rPr>
          <w:rFonts w:ascii="Arial" w:cs="Arial" w:eastAsia="Arial" w:hAnsi="Arial"/>
          <w:color w:val="4A5568"/>
          <w:sz w:val="20"/>
          <w:szCs w:val="20"/>
        </w:rPr>
        <w:t xml:space="preserve">Instantly.ai sequence "sipp-property-welcome" triggered via n8n webhook</w:t>
      </w:r>
    </w:p>
    <w:p>
      <w:pPr>
        <w:pStyle w:val="ListParagraph"/>
        <w:numPr>
          <w:ilvl w:val="0"/>
          <w:numId w:val="2"/>
        </w:numPr>
        <w:spacing w:after="60"/>
      </w:pPr>
      <w:r>
        <w:rPr>
          <w:rFonts w:ascii="Arial" w:cs="Arial" w:eastAsia="Arial" w:hAnsi="Arial"/>
          <w:color w:val="4A5568"/>
          <w:sz w:val="20"/>
          <w:szCs w:val="20"/>
        </w:rPr>
        <w:t xml:space="preserve">Telegram notification sent to broker via OpenClaw with lead summary</w:t>
      </w:r>
    </w:p>
    <w:p>
      <w:pPr>
        <w:pStyle w:val="ListParagraph"/>
        <w:numPr>
          <w:ilvl w:val="0"/>
          <w:numId w:val="2"/>
        </w:numPr>
        <w:spacing w:after="60"/>
      </w:pPr>
      <w:r>
        <w:rPr>
          <w:rFonts w:ascii="Arial" w:cs="Arial" w:eastAsia="Arial" w:hAnsi="Arial"/>
          <w:color w:val="4A5568"/>
          <w:sz w:val="20"/>
          <w:szCs w:val="20"/>
        </w:rPr>
        <w:t xml:space="preserve">PDF Indicative Terms auto-generated and emailed to prospect within 5 minutes</w:t>
      </w:r>
    </w:p>
    <w:p>
      <w:pPr>
        <w:pStyle w:val="ListParagraph"/>
        <w:numPr>
          <w:ilvl w:val="0"/>
          <w:numId w:val="2"/>
        </w:numPr>
        <w:spacing w:after="60"/>
      </w:pPr>
      <w:r>
        <w:rPr>
          <w:rFonts w:ascii="Arial" w:cs="Arial" w:eastAsia="Arial" w:hAnsi="Arial"/>
          <w:color w:val="4A5568"/>
          <w:sz w:val="20"/>
          <w:szCs w:val="20"/>
        </w:rPr>
        <w:t xml:space="preserve">SMS confirmation sent via GHL if mobile number provided</w:t>
      </w:r>
    </w:p>
    <w:p>
      <w:pPr>
        <w:spacing w:after="0" w:before="0"/>
      </w:pPr>
      <w:r>
        <w:t xml:space="preserve"/>
      </w:r>
    </w:p>
    <w:p>
      <w:pPr>
        <w:pStyle w:val="Heading2"/>
      </w:pPr>
      <w:r>
        <w:rPr>
          <w:rFonts w:ascii="Arial" w:cs="Arial" w:eastAsia="Arial" w:hAnsi="Arial"/>
          <w:color w:val="1A3A6B"/>
        </w:rPr>
        <w:t xml:space="preserve">5.3 Multi-Step Enquiry Form (4 Steps)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Step</w:t>
            </w:r>
          </w:p>
        </w:tc>
        <w:tc>
          <w:tcPr>
            <w:tcW w:type="dxa" w:w="40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Fields</w:t>
            </w:r>
          </w:p>
        </w:tc>
        <w:tc>
          <w:tcPr>
            <w:tcW w:type="dxa" w:w="30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UX Notes</w:t>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Step 1 — Property</w:t>
            </w:r>
          </w:p>
        </w:tc>
        <w:tc>
          <w:tcPr>
            <w:tcW w:type="dxa" w:w="4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Property type (office/industrial/retail/mixed-use/other), property value, location (postcode), tenure (freehold/leasehold)</w:t>
            </w:r>
          </w:p>
        </w:tc>
        <w:tc>
          <w:tcPr>
            <w:tcW w:type="dxa" w:w="3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Dropdown + text. Property type drives permitted-use hint text.</w:t>
            </w:r>
          </w:p>
        </w:tc>
      </w:tr>
      <w:tr>
        <w:tc>
          <w:tcPr>
            <w:tcW w:type="dxa" w:w="2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Step 2 — Pension</w:t>
            </w:r>
          </w:p>
        </w:tc>
        <w:tc>
          <w:tcPr>
            <w:tcW w:type="dxa" w:w="4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Scheme type (SIPP/SSAS), approximate fund value, SIPP/SSAS provider name, trustee status</w:t>
            </w:r>
          </w:p>
        </w:tc>
        <w:tc>
          <w:tcPr>
            <w:tcW w:type="dxa" w:w="3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Provider field has autocomplete with major SIPP providers.</w:t>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Step 3 — Finance Need</w:t>
            </w:r>
          </w:p>
        </w:tc>
        <w:tc>
          <w:tcPr>
            <w:tcW w:type="dxa" w:w="4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Loan amount (£), LTV target (%), purpose (purchase/refinance/development), urgency (0-3/3-6/6+ months)</w:t>
            </w:r>
          </w:p>
        </w:tc>
        <w:tc>
          <w:tcPr>
            <w:tcW w:type="dxa" w:w="3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LTV % auto-calculates from loan and property value in Step 1.</w:t>
            </w:r>
          </w:p>
        </w:tc>
      </w:tr>
      <w:tr>
        <w:tc>
          <w:tcPr>
            <w:tcW w:type="dxa" w:w="2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Step 4 — Contact</w:t>
            </w:r>
          </w:p>
        </w:tc>
        <w:tc>
          <w:tcPr>
            <w:tcW w:type="dxa" w:w="4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Full name, email, phone, company/firm, IFA FCA number (optional), preferred contact time</w:t>
            </w:r>
          </w:p>
        </w:tc>
        <w:tc>
          <w:tcPr>
            <w:tcW w:type="dxa" w:w="3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FCA number field appears if IFA checkbox selected. GDPR consent mandatory.</w:t>
            </w:r>
          </w:p>
        </w:tc>
      </w:tr>
    </w:tbl>
    <w:p>
      <w:pPr>
        <w:spacing w:after="0" w:before="0"/>
      </w:pPr>
      <w:r>
        <w:t xml:space="preserve"/>
      </w:r>
    </w:p>
    <w:p>
      <w:r>
        <w:br w:type="page"/>
      </w:r>
    </w:p>
    <w:p>
      <w:pPr>
        <w:pStyle w:val="Heading1"/>
      </w:pPr>
      <w:r>
        <w:rPr>
          <w:rFonts w:ascii="Arial" w:cs="Arial" w:eastAsia="Arial" w:hAnsi="Arial"/>
          <w:color w:val="0A1628"/>
        </w:rPr>
        <w:t xml:space="preserve">6. Calculator Specifications</w:t>
      </w:r>
    </w:p>
    <w:p>
      <w:pPr>
        <w:spacing w:after="100"/>
      </w:pPr>
      <w:r>
        <w:rPr>
          <w:rFonts w:ascii="Arial" w:cs="Arial" w:eastAsia="Arial" w:hAnsi="Arial"/>
          <w:b w:val="false"/>
          <w:bCs w:val="false"/>
          <w:color w:val="4A5568"/>
          <w:sz w:val="20"/>
          <w:szCs w:val="20"/>
        </w:rPr>
        <w:t xml:space="preserve">All calculators are built as standalone Next.js pages. Each includes an FCA disclaimer, schema.org SoftwareApplication markup, shareable URL via query params, and an inline CTA to the full enquiry form. Calculation logic lives in /lib/calculators/ for unit testability.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1400"/>
        <w:gridCol w:w="826"/>
      </w:tblGrid>
      <w:tr>
        <w:trPr>
          <w:tblHeader/>
        </w:trPr>
        <w:tc>
          <w:tcPr>
            <w:tcW w:type="dxa" w:w="19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Calculator</w:t>
            </w:r>
          </w:p>
        </w:tc>
        <w:tc>
          <w:tcPr>
            <w:tcW w:type="dxa" w:w="25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Key Inputs</w:t>
            </w:r>
          </w:p>
        </w:tc>
        <w:tc>
          <w:tcPr>
            <w:tcW w:type="dxa" w:w="24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Outputs</w:t>
            </w:r>
          </w:p>
        </w:tc>
        <w:tc>
          <w:tcPr>
            <w:tcW w:type="dxa" w:w="14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Route</w:t>
            </w:r>
          </w:p>
        </w:tc>
        <w:tc>
          <w:tcPr>
            <w:tcW w:type="dxa" w:w="8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1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7"/>
                <w:szCs w:val="17"/>
              </w:rPr>
              <w:t xml:space="preserve">SIPP Mortgage Calculator</w:t>
            </w:r>
          </w:p>
        </w:tc>
        <w:tc>
          <w:tcPr>
            <w:tcW w:type="dxa" w:w="2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Property value, SIPP fund value, LTV %, interest rate, term years</w:t>
            </w:r>
          </w:p>
        </w:tc>
        <w:tc>
          <w:tcPr>
            <w:tcW w:type="dxa" w:w="2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Max loan, monthly payment, total cost, rental yield coverage</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/sipp-mortgage-calculator</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r>
      <w:tr>
        <w:tc>
          <w:tcPr>
            <w:tcW w:type="dxa" w:w="1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7"/>
                <w:szCs w:val="17"/>
              </w:rPr>
              <w:t xml:space="preserve">SIPP LTV Calculator</w:t>
            </w:r>
          </w:p>
        </w:tc>
        <w:tc>
          <w:tcPr>
            <w:tcW w:type="dxa" w:w="2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Property value, current SIPP pension pot</w:t>
            </w:r>
          </w:p>
        </w:tc>
        <w:tc>
          <w:tcPr>
            <w:tcW w:type="dxa" w:w="2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Max SIPP borrowing (50% cap), remaining fund post-contribution</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/sipp-ltv-calculator</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r>
      <w:tr>
        <w:tc>
          <w:tcPr>
            <w:tcW w:type="dxa" w:w="1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7"/>
                <w:szCs w:val="17"/>
              </w:rPr>
              <w:t xml:space="preserve">Rental Yield Calculator</w:t>
            </w:r>
          </w:p>
        </w:tc>
        <w:tc>
          <w:tcPr>
            <w:tcW w:type="dxa" w:w="2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Purchase price, annual rent, annual expenses, SIPP mortgage repayment</w:t>
            </w:r>
          </w:p>
        </w:tc>
        <w:tc>
          <w:tcPr>
            <w:tcW w:type="dxa" w:w="2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Gross yield %, net yield %, annual surplus/deficit within SIPP</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/rental-yield-calculator</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r>
      <w:tr>
        <w:tc>
          <w:tcPr>
            <w:tcW w:type="dxa" w:w="1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7"/>
                <w:szCs w:val="17"/>
              </w:rPr>
              <w:t xml:space="preserve">SSAS Loanback Calculator</w:t>
            </w:r>
          </w:p>
        </w:tc>
        <w:tc>
          <w:tcPr>
            <w:tcW w:type="dxa" w:w="2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Scheme fund value, loan amount, rate, term, HMRC 5-year toggle</w:t>
            </w:r>
          </w:p>
        </w:tc>
        <w:tc>
          <w:tcPr>
            <w:tcW w:type="dxa" w:w="2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Max permitted loan, repayment schedule, HMRC compliance status</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/ssas-loan-calculator</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r>
      <w:tr>
        <w:tc>
          <w:tcPr>
            <w:tcW w:type="dxa" w:w="1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7"/>
                <w:szCs w:val="17"/>
              </w:rPr>
              <w:t xml:space="preserve">Stamp Duty (SIPP) Calculator</w:t>
            </w:r>
          </w:p>
        </w:tc>
        <w:tc>
          <w:tcPr>
            <w:tcW w:type="dxa" w:w="2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Property value, property type, SIPP ownership toggle</w:t>
            </w:r>
          </w:p>
        </w:tc>
        <w:tc>
          <w:tcPr>
            <w:tcW w:type="dxa" w:w="2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SDLT liability including 3% surcharge, breakdown by band</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/sipp-stamp-duty-calculator</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2B6CB0"/>
                <w:sz w:val="17"/>
                <w:szCs w:val="17"/>
              </w:rPr>
              <w:t xml:space="preserve">P2</w:t>
            </w:r>
          </w:p>
        </w:tc>
      </w:tr>
      <w:tr>
        <w:tc>
          <w:tcPr>
            <w:tcW w:type="dxa" w:w="1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7"/>
                <w:szCs w:val="17"/>
              </w:rPr>
              <w:t xml:space="preserve">Contribution Planner</w:t>
            </w:r>
          </w:p>
        </w:tc>
        <w:tc>
          <w:tcPr>
            <w:tcW w:type="dxa" w:w="2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Annual income, employer contributions, target property value, years</w:t>
            </w:r>
          </w:p>
        </w:tc>
        <w:tc>
          <w:tcPr>
            <w:tcW w:type="dxa" w:w="2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Annual contribution needed, projected SIPP value chart</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/sipp-contribution-planner</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2B6CB0"/>
                <w:sz w:val="17"/>
                <w:szCs w:val="17"/>
              </w:rPr>
              <w:t xml:space="preserve">P2</w:t>
            </w:r>
          </w:p>
        </w:tc>
      </w:tr>
    </w:tbl>
    <w:p>
      <w:pPr>
        <w:spacing w:after="0" w:before="0"/>
      </w:pPr>
      <w:r>
        <w:t xml:space="preserve"/>
      </w:r>
    </w:p>
    <w:p>
      <w:r>
        <w:br w:type="page"/>
      </w:r>
    </w:p>
    <w:p>
      <w:pPr>
        <w:pStyle w:val="Heading1"/>
      </w:pPr>
      <w:r>
        <w:rPr>
          <w:rFonts w:ascii="Arial" w:cs="Arial" w:eastAsia="Arial" w:hAnsi="Arial"/>
          <w:color w:val="0A1628"/>
        </w:rPr>
        <w:t xml:space="preserve">7. Technology Stack</w:t>
      </w:r>
    </w:p>
    <w:p>
      <w:pPr>
        <w:pStyle w:val="Heading2"/>
      </w:pPr>
      <w:r>
        <w:rPr>
          <w:rFonts w:ascii="Arial" w:cs="Arial" w:eastAsia="Arial" w:hAnsi="Arial"/>
          <w:color w:val="1A3A6B"/>
        </w:rPr>
        <w:t xml:space="preserve">7.1 Frontend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Layer</w:t>
            </w:r>
          </w:p>
        </w:tc>
        <w:tc>
          <w:tcPr>
            <w:tcW w:type="dxa" w:w="62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Technology &amp; Rationale</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Framework</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Next.js 16 — App Router, React Server Components, Partial Pre-rendering, built-in image optimisation, edge middleware</w:t>
            </w:r>
          </w:p>
        </w:tc>
      </w:tr>
      <w:tr>
        <w:tc>
          <w:tcPr>
            <w:tcW w:type="dxa" w:w="2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UI Components</w:t>
            </w:r>
          </w:p>
        </w:tc>
        <w:tc>
          <w:tcPr>
            <w:tcW w:type="dxa" w:w="6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shadcn/ui — accessible Radix UI primitives customised with CSS variables for the glassmorphism theme</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Styling</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Tailwind CSS v4 — utility-first, zero-runtime, full CSS variable support for dynamic theming</w:t>
            </w:r>
          </w:p>
        </w:tc>
      </w:tr>
      <w:tr>
        <w:tc>
          <w:tcPr>
            <w:tcW w:type="dxa" w:w="2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Animation</w:t>
            </w:r>
          </w:p>
        </w:tc>
        <w:tc>
          <w:tcPr>
            <w:tcW w:type="dxa" w:w="6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Framer Motion 11 — page transitions, scroll-reveal, glass card hover effects, calculator chart animations</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Forms</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React Hook Form + Zod — type-safe validation, multi-step state management, field-level error handling</w:t>
            </w:r>
          </w:p>
        </w:tc>
      </w:tr>
      <w:tr>
        <w:tc>
          <w:tcPr>
            <w:tcW w:type="dxa" w:w="2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Charts</w:t>
            </w:r>
          </w:p>
        </w:tc>
        <w:tc>
          <w:tcPr>
            <w:tcW w:type="dxa" w:w="6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Recharts — amortisation tables, pension growth projections, yield charts within calculators</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Type Safety</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TypeScript 5 — strict mode throughout codebase</w:t>
            </w:r>
          </w:p>
        </w:tc>
      </w:tr>
    </w:tbl>
    <w:p>
      <w:pPr>
        <w:spacing w:after="0" w:before="0"/>
      </w:pPr>
      <w:r>
        <w:t xml:space="preserve"/>
      </w:r>
    </w:p>
    <w:p>
      <w:pPr>
        <w:pStyle w:val="Heading2"/>
      </w:pPr>
      <w:r>
        <w:rPr>
          <w:rFonts w:ascii="Arial" w:cs="Arial" w:eastAsia="Arial" w:hAnsi="Arial"/>
          <w:color w:val="1A3A6B"/>
        </w:rPr>
        <w:t xml:space="preserve">7.2 Backend &amp; Integrations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System</w:t>
            </w:r>
          </w:p>
        </w:tc>
        <w:tc>
          <w:tcPr>
            <w:tcW w:type="dxa" w:w="62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Role &amp; Configuration</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Next.js API Routes</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Serverless endpoints: /api/enquiry (lead submission), /api/calculator (server-side validation), /api/sitemap (dynamic URLs)</w:t>
            </w:r>
          </w:p>
        </w:tc>
      </w:tr>
      <w:tr>
        <w:tc>
          <w:tcPr>
            <w:tcW w:type="dxa" w:w="2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GoHighLevel CRM</w:t>
            </w:r>
          </w:p>
        </w:tc>
        <w:tc>
          <w:tcPr>
            <w:tcW w:type="dxa" w:w="6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Lead pipeline: contact creation, custom fields, pipeline stage 'New SIPP Enquiry', SMS/email automation sequences</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Instantly.ai</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Warm email sequences triggered on lead capture. Sequence: sipp-property-welcome (5-email, 14-day nurture) via n8n webhook</w:t>
            </w:r>
          </w:p>
        </w:tc>
      </w:tr>
      <w:tr>
        <w:tc>
          <w:tcPr>
            <w:tcW w:type="dxa" w:w="2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n8n (self-hosted VPS)</w:t>
            </w:r>
          </w:p>
        </w:tc>
        <w:tc>
          <w:tcPr>
            <w:tcW w:type="dxa" w:w="6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Automation hub: form submission, GHL contact creation, Instantly sequence trigger, Telegram notification, PDF dispatch</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OpenClaw / Telegram</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Real-time broker alerts on new leads — name, property value, loan amount, GHL contact link</w:t>
            </w:r>
          </w:p>
        </w:tc>
      </w:tr>
      <w:tr>
        <w:tc>
          <w:tcPr>
            <w:tcW w:type="dxa" w:w="2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Resend</w:t>
            </w:r>
          </w:p>
        </w:tc>
        <w:tc>
          <w:tcPr>
            <w:tcW w:type="dxa" w:w="6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Transactional email: form confirmation, PDF indicative terms, IFA referral acknowledgement</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Vercel</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Hosting with edge CDN, preview deployments, environment variable management</w:t>
            </w:r>
          </w:p>
        </w:tc>
      </w:tr>
      <w:tr>
        <w:tc>
          <w:tcPr>
            <w:tcW w:type="dxa" w:w="2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Contentlayer</w:t>
            </w:r>
          </w:p>
        </w:tc>
        <w:tc>
          <w:tcPr>
            <w:tcW w:type="dxa" w:w="6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MDX content pipeline for blog posts, guides, and case studies with Zod schema frontmatter validation</w:t>
            </w:r>
          </w:p>
        </w:tc>
      </w:tr>
    </w:tbl>
    <w:p>
      <w:pPr>
        <w:spacing w:after="0" w:before="0"/>
      </w:pPr>
      <w:r>
        <w:t xml:space="preserve"/>
      </w:r>
    </w:p>
    <w:p>
      <w:pPr>
        <w:pStyle w:val="Heading2"/>
      </w:pPr>
      <w:r>
        <w:rPr>
          <w:rFonts w:ascii="Arial" w:cs="Arial" w:eastAsia="Arial" w:hAnsi="Arial"/>
          <w:color w:val="1A3A6B"/>
        </w:rPr>
        <w:t xml:space="preserve">7.3 SEO &amp; Analytics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Tool</w:t>
            </w:r>
          </w:p>
        </w:tc>
        <w:tc>
          <w:tcPr>
            <w:tcW w:type="dxa" w:w="62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DataForSEO API</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Keyword research, SERP tracking, competitor gap analysis — feeds programmatic content strategy</w:t>
            </w:r>
          </w:p>
        </w:tc>
      </w:tr>
      <w:tr>
        <w:tc>
          <w:tcPr>
            <w:tcW w:type="dxa" w:w="2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next-sitemap</w:t>
            </w:r>
          </w:p>
        </w:tc>
        <w:tc>
          <w:tcPr>
            <w:tcW w:type="dxa" w:w="6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Auto-generated XML sitemap covering all static and dynamic routes</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next-seo / JSON-LD</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Meta tags, Open Graph, Twitter cards, and schema.org structured data on all pages</w:t>
            </w:r>
          </w:p>
        </w:tc>
      </w:tr>
      <w:tr>
        <w:tc>
          <w:tcPr>
            <w:tcW w:type="dxa" w:w="2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Plausible Analytics</w:t>
            </w:r>
          </w:p>
        </w:tc>
        <w:tc>
          <w:tcPr>
            <w:tcW w:type="dxa" w:w="6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Privacy-first, GDPR-compliant analytics — no cookie consent required, tracks form funnel steps</w:t>
            </w:r>
          </w:p>
        </w:tc>
      </w:tr>
      <w:tr>
        <w:tc>
          <w:tcPr>
            <w:tcW w:type="dxa" w:w="2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Microsoft Clarity</w:t>
            </w:r>
          </w:p>
        </w:tc>
        <w:tc>
          <w:tcPr>
            <w:tcW w:type="dxa" w:w="6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Session recording and heatmaps for UX optimisation — GDPR-compliant configuration</w:t>
            </w:r>
          </w:p>
        </w:tc>
      </w:tr>
      <w:tr>
        <w:tc>
          <w:tcPr>
            <w:tcW w:type="dxa" w:w="2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Google Search Console</w:t>
            </w:r>
          </w:p>
        </w:tc>
        <w:tc>
          <w:tcPr>
            <w:tcW w:type="dxa" w:w="6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Crawl monitoring, Core Web Vitals, keyword impression data, indexing status</w:t>
            </w:r>
          </w:p>
        </w:tc>
      </w:tr>
    </w:tbl>
    <w:p>
      <w:pPr>
        <w:spacing w:after="0" w:before="0"/>
      </w:pPr>
      <w:r>
        <w:t xml:space="preserve"/>
      </w:r>
    </w:p>
    <w:p>
      <w:r>
        <w:br w:type="page"/>
      </w:r>
    </w:p>
    <w:p>
      <w:pPr>
        <w:pStyle w:val="Heading1"/>
      </w:pPr>
      <w:r>
        <w:rPr>
          <w:rFonts w:ascii="Arial" w:cs="Arial" w:eastAsia="Arial" w:hAnsi="Arial"/>
          <w:color w:val="0A1628"/>
        </w:rPr>
        <w:t xml:space="preserve">8. System Architecture</w:t>
      </w:r>
    </w:p>
    <w:p>
      <w:pPr>
        <w:pStyle w:val="Heading2"/>
      </w:pPr>
      <w:r>
        <w:rPr>
          <w:rFonts w:ascii="Arial" w:cs="Arial" w:eastAsia="Arial" w:hAnsi="Arial"/>
          <w:color w:val="1A3A6B"/>
        </w:rPr>
        <w:t xml:space="preserve">8.1 API Endpoint Specifications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Endpoint</w:t>
            </w:r>
          </w:p>
        </w:tc>
        <w:tc>
          <w:tcPr>
            <w:tcW w:type="dxa" w:w="45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Purpose</w:t>
            </w:r>
          </w:p>
        </w:tc>
        <w:tc>
          <w:tcPr>
            <w:tcW w:type="dxa" w:w="25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Integrations</w:t>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POST  /api/enquiry</w:t>
            </w:r>
          </w:p>
        </w:tc>
        <w:tc>
          <w:tcPr>
            <w:tcW w:type="dxa" w:w="4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Validates lead form payload. Creates GHL contact with custom fields. Triggers n8n workflow: Instantly sequence, Telegram alert, PDF dispatch. Returns 200 with confirmation message.</w:t>
            </w:r>
          </w:p>
        </w:tc>
        <w:tc>
          <w:tcPr>
            <w:tcW w:type="dxa" w:w="25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GHL, n8n, Telegram, Resend, Zod</w:t>
            </w:r>
          </w:p>
        </w:tc>
      </w:tr>
      <w:tr>
        <w:tc>
          <w:tcPr>
            <w:tcW w:type="dxa" w:w="2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POST  /api/calculator</w:t>
            </w:r>
          </w:p>
        </w:tc>
        <w:tc>
          <w:tcPr>
            <w:tcW w:type="dxa" w:w="4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Validates calculator inputs server-side. Optionally generates PDF indicative terms on request. Returns validated figures and optional download URL.</w:t>
            </w:r>
          </w:p>
        </w:tc>
        <w:tc>
          <w:tcPr>
            <w:tcW w:type="dxa" w:w="25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PDF generator, Resend</w:t>
            </w:r>
          </w:p>
        </w:tc>
      </w:tr>
      <w:tr>
        <w:tc>
          <w:tcPr>
            <w:tcW w:type="dxa" w:w="2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GET  /api/sitemap</w:t>
            </w:r>
          </w:p>
        </w:tc>
        <w:tc>
          <w:tcPr>
            <w:tcW w:type="dxa" w:w="4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Returns dynamic sitemap XML including all blog slugs, guide slugs, calculator routes, and city pages. Used by next-sitemap at build time.</w:t>
            </w:r>
          </w:p>
        </w:tc>
        <w:tc>
          <w:tcPr>
            <w:tcW w:type="dxa" w:w="25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Contentlayer, next-sitemap</w:t>
            </w:r>
          </w:p>
        </w:tc>
      </w:tr>
    </w:tbl>
    <w:p>
      <w:pPr>
        <w:spacing w:after="0" w:before="0"/>
      </w:pPr>
      <w:r>
        <w:t xml:space="preserve"/>
      </w:r>
    </w:p>
    <w:p>
      <w:pPr>
        <w:pStyle w:val="Heading2"/>
      </w:pPr>
      <w:r>
        <w:rPr>
          <w:rFonts w:ascii="Arial" w:cs="Arial" w:eastAsia="Arial" w:hAnsi="Arial"/>
          <w:color w:val="1A3A6B"/>
        </w:rPr>
        <w:t xml:space="preserve">8.2 Lead Flow Architecture</w:t>
      </w:r>
    </w:p>
    <w:p>
      <w:pPr>
        <w:spacing w:after="0" w:before="0"/>
      </w:pPr>
      <w:r>
        <w:t xml:space="preserve"/>
      </w:r>
    </w:p>
    <w:tbl>
      <w:tblPr>
        <w:tblW w:type="dxa" w:w="9026"/>
        <w:tblBorders>
          <w:top w:val="single" w:color="C9A84C" w:sz="12"/>
          <w:left w:val="single" w:color="C9A84C" w:sz="12"/>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3D8" w:val="clear"/>
            <w:tcMar>
              <w:top w:type="dxa" w:w="80"/>
              <w:left w:type="dxa" w:w="160"/>
              <w:bottom w:type="dxa" w:w="80"/>
              <w:right w:type="dxa" w:w="160"/>
            </w:tcMar>
          </w:tcPr>
          <w:p>
            <w:r>
              <w:rPr>
                <w:rFonts w:ascii="Arial" w:cs="Arial" w:eastAsia="Arial" w:hAnsi="Arial"/>
                <w:i/>
                <w:iCs/>
                <w:color w:val="0A1628"/>
                <w:sz w:val="19"/>
                <w:szCs w:val="19"/>
              </w:rPr>
              <w:t xml:space="preserve">User submits enquiry form  -&gt;  POST /api/enquiry (Next.js)  -&gt;  Zod validation</w:t>
            </w:r>
          </w:p>
        </w:tc>
      </w:tr>
      <w:tr>
        <w:tc>
          <w:tcPr>
            <w:tcW w:type="dxa" w:w="9026"/>
            <w:tcBorders>
              <w:top w:val="none" w:color="FFFFFF" w:sz="0"/>
              <w:left w:val="none" w:color="FFFFFF" w:sz="0"/>
              <w:bottom w:val="none" w:color="FFFFFF" w:sz="0"/>
              <w:right w:val="none" w:color="FFFFFF" w:sz="0"/>
            </w:tcBorders>
            <w:shd w:fill="FDF3D8" w:val="clear"/>
            <w:tcMar>
              <w:top w:type="dxa" w:w="80"/>
              <w:left w:type="dxa" w:w="160"/>
              <w:bottom w:type="dxa" w:w="80"/>
              <w:right w:type="dxa" w:w="160"/>
            </w:tcMar>
          </w:tcPr>
          <w:p>
            <w:r>
              <w:rPr>
                <w:rFonts w:ascii="Arial" w:cs="Arial" w:eastAsia="Arial" w:hAnsi="Arial"/>
                <w:i/>
                <w:iCs/>
                <w:color w:val="0A1628"/>
                <w:sz w:val="19"/>
                <w:szCs w:val="19"/>
              </w:rPr>
              <w:t xml:space="preserve">-&gt;  GoHighLevel contact created (pipeline: New SIPP Enquiry)  -&gt;  n8n webhook triggered</w:t>
            </w:r>
          </w:p>
        </w:tc>
      </w:tr>
      <w:tr>
        <w:tc>
          <w:tcPr>
            <w:tcW w:type="dxa" w:w="9026"/>
            <w:tcBorders>
              <w:top w:val="none" w:color="FFFFFF" w:sz="0"/>
              <w:left w:val="none" w:color="FFFFFF" w:sz="0"/>
              <w:bottom w:val="none" w:color="FFFFFF" w:sz="0"/>
              <w:right w:val="none" w:color="FFFFFF" w:sz="0"/>
            </w:tcBorders>
            <w:shd w:fill="FDF3D8" w:val="clear"/>
            <w:tcMar>
              <w:top w:type="dxa" w:w="80"/>
              <w:left w:type="dxa" w:w="160"/>
              <w:bottom w:type="dxa" w:w="80"/>
              <w:right w:type="dxa" w:w="160"/>
            </w:tcMar>
          </w:tcPr>
          <w:p>
            <w:r>
              <w:rPr>
                <w:rFonts w:ascii="Arial" w:cs="Arial" w:eastAsia="Arial" w:hAnsi="Arial"/>
                <w:i/>
                <w:iCs/>
                <w:color w:val="0A1628"/>
                <w:sz w:val="19"/>
                <w:szCs w:val="19"/>
              </w:rPr>
              <w:t xml:space="preserve">-&gt;  [Instantly.ai sequence started]  +  [Telegram notification sent]  +  [PDF generated]</w:t>
            </w:r>
          </w:p>
        </w:tc>
      </w:tr>
      <w:tr>
        <w:tc>
          <w:tcPr>
            <w:tcW w:type="dxa" w:w="9026"/>
            <w:tcBorders>
              <w:top w:val="none" w:color="FFFFFF" w:sz="0"/>
              <w:left w:val="none" w:color="FFFFFF" w:sz="0"/>
              <w:bottom w:val="none" w:color="FFFFFF" w:sz="0"/>
              <w:right w:val="none" w:color="FFFFFF" w:sz="0"/>
            </w:tcBorders>
            <w:shd w:fill="FDF3D8" w:val="clear"/>
            <w:tcMar>
              <w:top w:type="dxa" w:w="80"/>
              <w:left w:type="dxa" w:w="160"/>
              <w:bottom w:type="dxa" w:w="80"/>
              <w:right w:type="dxa" w:w="160"/>
            </w:tcMar>
          </w:tcPr>
          <w:p>
            <w:r>
              <w:rPr>
                <w:rFonts w:ascii="Arial" w:cs="Arial" w:eastAsia="Arial" w:hAnsi="Arial"/>
                <w:i/>
                <w:iCs/>
                <w:color w:val="0A1628"/>
                <w:sz w:val="19"/>
                <w:szCs w:val="19"/>
              </w:rPr>
              <w:t xml:space="preserve">-&gt;  Resend: confirmation email to prospect  +  PDF indicative terms attached</w:t>
            </w:r>
          </w:p>
        </w:tc>
      </w:tr>
    </w:tbl>
    <w:p>
      <w:pPr>
        <w:spacing w:after="0" w:before="0"/>
      </w:pPr>
      <w:r>
        <w:t xml:space="preserve"/>
      </w:r>
    </w:p>
    <w:p>
      <w:r>
        <w:br w:type="page"/>
      </w:r>
    </w:p>
    <w:p>
      <w:pPr>
        <w:pStyle w:val="Heading1"/>
      </w:pPr>
      <w:r>
        <w:rPr>
          <w:rFonts w:ascii="Arial" w:cs="Arial" w:eastAsia="Arial" w:hAnsi="Arial"/>
          <w:color w:val="0A1628"/>
        </w:rPr>
        <w:t xml:space="preserve">9. SEO Strategy</w:t>
      </w:r>
    </w:p>
    <w:p>
      <w:pPr>
        <w:pStyle w:val="Heading2"/>
      </w:pPr>
      <w:r>
        <w:rPr>
          <w:rFonts w:ascii="Arial" w:cs="Arial" w:eastAsia="Arial" w:hAnsi="Arial"/>
          <w:color w:val="1A3A6B"/>
        </w:rPr>
        <w:t xml:space="preserve">9.1 Primary Keyword Targets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2200"/>
        <w:gridCol w:w="1226"/>
      </w:tblGrid>
      <w:tr>
        <w:trPr>
          <w:tblHeader/>
        </w:trPr>
        <w:tc>
          <w:tcPr>
            <w:tcW w:type="dxa" w:w="38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Keyword</w:t>
            </w:r>
          </w:p>
        </w:tc>
        <w:tc>
          <w:tcPr>
            <w:tcW w:type="dxa" w:w="18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Intent</w:t>
            </w:r>
          </w:p>
        </w:tc>
        <w:tc>
          <w:tcPr>
            <w:tcW w:type="dxa" w:w="22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Target Page</w:t>
            </w:r>
          </w:p>
        </w:tc>
        <w:tc>
          <w:tcPr>
            <w:tcW w:type="dxa" w:w="12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commercial property mortgage</w:t>
            </w:r>
          </w:p>
        </w:tc>
        <w:tc>
          <w:tcPr>
            <w:tcW w:type="dxa" w:w="1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Commercial</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/sipp-property-mortgage</w:t>
            </w:r>
          </w:p>
        </w:tc>
        <w:tc>
          <w:tcPr>
            <w:tcW w:type="dxa" w:w="1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r>
      <w:tr>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property finance</w:t>
            </w:r>
          </w:p>
        </w:tc>
        <w:tc>
          <w:tcPr>
            <w:tcW w:type="dxa" w:w="1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Commercial</w:t>
            </w:r>
          </w:p>
        </w:tc>
        <w:tc>
          <w:tcPr>
            <w:tcW w:type="dxa" w:w="22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w:t>
            </w:r>
          </w:p>
        </w:tc>
        <w:tc>
          <w:tcPr>
            <w:tcW w:type="dxa" w:w="1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r>
      <w:tr>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buy commercial property through sipp</w:t>
            </w:r>
          </w:p>
        </w:tc>
        <w:tc>
          <w:tcPr>
            <w:tcW w:type="dxa" w:w="1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Informational</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/commercial-property-sipp</w:t>
            </w:r>
          </w:p>
        </w:tc>
        <w:tc>
          <w:tcPr>
            <w:tcW w:type="dxa" w:w="1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r>
      <w:tr>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mortgage calculator</w:t>
            </w:r>
          </w:p>
        </w:tc>
        <w:tc>
          <w:tcPr>
            <w:tcW w:type="dxa" w:w="1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Tool</w:t>
            </w:r>
          </w:p>
        </w:tc>
        <w:tc>
          <w:tcPr>
            <w:tcW w:type="dxa" w:w="22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/sipp-mortgage-calculator</w:t>
            </w:r>
          </w:p>
        </w:tc>
        <w:tc>
          <w:tcPr>
            <w:tcW w:type="dxa" w:w="1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r>
      <w:tr>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ssas property loan</w:t>
            </w:r>
          </w:p>
        </w:tc>
        <w:tc>
          <w:tcPr>
            <w:tcW w:type="dxa" w:w="1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Commercial</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/ssas-property-finance</w:t>
            </w:r>
          </w:p>
        </w:tc>
        <w:tc>
          <w:tcPr>
            <w:tcW w:type="dxa" w:w="1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r>
      <w:tr>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can i buy commercial property in my sipp</w:t>
            </w:r>
          </w:p>
        </w:tc>
        <w:tc>
          <w:tcPr>
            <w:tcW w:type="dxa" w:w="1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Informational</w:t>
            </w:r>
          </w:p>
        </w:tc>
        <w:tc>
          <w:tcPr>
            <w:tcW w:type="dxa" w:w="22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/guides/sipp-property-rules</w:t>
            </w:r>
          </w:p>
        </w:tc>
        <w:tc>
          <w:tcPr>
            <w:tcW w:type="dxa" w:w="1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r>
      <w:tr>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commercial property lenders uk</w:t>
            </w:r>
          </w:p>
        </w:tc>
        <w:tc>
          <w:tcPr>
            <w:tcW w:type="dxa" w:w="1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Commercial</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/lenders</w:t>
            </w:r>
          </w:p>
        </w:tc>
        <w:tc>
          <w:tcPr>
            <w:tcW w:type="dxa" w:w="1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r>
      <w:tr>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ssas loanback calculator</w:t>
            </w:r>
          </w:p>
        </w:tc>
        <w:tc>
          <w:tcPr>
            <w:tcW w:type="dxa" w:w="1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Tool</w:t>
            </w:r>
          </w:p>
        </w:tc>
        <w:tc>
          <w:tcPr>
            <w:tcW w:type="dxa" w:w="22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/ssas-loan-calculator</w:t>
            </w:r>
          </w:p>
        </w:tc>
        <w:tc>
          <w:tcPr>
            <w:tcW w:type="dxa" w:w="1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r>
      <w:tr>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property investment rules hmrc</w:t>
            </w:r>
          </w:p>
        </w:tc>
        <w:tc>
          <w:tcPr>
            <w:tcW w:type="dxa" w:w="1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Informational</w:t>
            </w:r>
          </w:p>
        </w:tc>
        <w:tc>
          <w:tcPr>
            <w:tcW w:type="dxa" w:w="22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/commercial-property-sipp</w:t>
            </w:r>
          </w:p>
        </w:tc>
        <w:tc>
          <w:tcPr>
            <w:tcW w:type="dxa" w:w="12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r>
      <w:tr>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vs ssas property purchase</w:t>
            </w:r>
          </w:p>
        </w:tc>
        <w:tc>
          <w:tcPr>
            <w:tcW w:type="dxa" w:w="1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Informational</w:t>
            </w:r>
          </w:p>
        </w:tc>
        <w:tc>
          <w:tcPr>
            <w:tcW w:type="dxa" w:w="22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3A6B"/>
                <w:sz w:val="16"/>
                <w:szCs w:val="16"/>
              </w:rPr>
              <w:t xml:space="preserve">/guides/sipp-vs-ssas</w:t>
            </w:r>
          </w:p>
        </w:tc>
        <w:tc>
          <w:tcPr>
            <w:tcW w:type="dxa" w:w="12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2B6CB0"/>
                <w:sz w:val="17"/>
                <w:szCs w:val="17"/>
              </w:rPr>
              <w:t xml:space="preserve">P2</w:t>
            </w:r>
          </w:p>
        </w:tc>
      </w:tr>
    </w:tbl>
    <w:p>
      <w:pPr>
        <w:spacing w:after="0" w:before="0"/>
      </w:pPr>
      <w:r>
        <w:t xml:space="preserve"/>
      </w:r>
    </w:p>
    <w:p>
      <w:pPr>
        <w:pStyle w:val="Heading2"/>
      </w:pPr>
      <w:r>
        <w:rPr>
          <w:rFonts w:ascii="Arial" w:cs="Arial" w:eastAsia="Arial" w:hAnsi="Arial"/>
          <w:color w:val="1A3A6B"/>
        </w:rPr>
        <w:t xml:space="preserve">9.2 Schema.org Implementation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Page Type</w:t>
            </w:r>
          </w:p>
        </w:tc>
        <w:tc>
          <w:tcPr>
            <w:tcW w:type="dxa" w:w="60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Schema Type(s) Required</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Homepage</w:t>
            </w:r>
          </w:p>
        </w:tc>
        <w:tc>
          <w:tcPr>
            <w:tcW w:type="dxa" w:w="6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FinancialService, Organization, BreadcrumbList</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Calculator pages</w:t>
            </w:r>
          </w:p>
        </w:tc>
        <w:tc>
          <w:tcPr>
            <w:tcW w:type="dxa" w:w="6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SoftwareApplication (applicationCategory: FinanceApplication)</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Blog / Guide articles</w:t>
            </w:r>
          </w:p>
        </w:tc>
        <w:tc>
          <w:tcPr>
            <w:tcW w:type="dxa" w:w="6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Article, BreadcrumbList, Author</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Case studies</w:t>
            </w:r>
          </w:p>
        </w:tc>
        <w:tc>
          <w:tcPr>
            <w:tcW w:type="dxa" w:w="6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Article (with LoanOrCredit in about property)</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FAQ sections</w:t>
            </w:r>
          </w:p>
        </w:tc>
        <w:tc>
          <w:tcPr>
            <w:tcW w:type="dxa" w:w="6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FAQPage with Question + AcceptedAnswer per item</w:t>
            </w:r>
          </w:p>
        </w:tc>
      </w:tr>
      <w:tr>
        <w:tc>
          <w:tcPr>
            <w:tcW w:type="dxa" w:w="30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0A1628"/>
                <w:sz w:val="18"/>
                <w:szCs w:val="18"/>
              </w:rPr>
              <w:t xml:space="preserve">Lender comparison</w:t>
            </w:r>
          </w:p>
        </w:tc>
        <w:tc>
          <w:tcPr>
            <w:tcW w:type="dxa" w:w="6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ItemList + FinancialService per lender entry</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Contact page</w:t>
            </w:r>
          </w:p>
        </w:tc>
        <w:tc>
          <w:tcPr>
            <w:tcW w:type="dxa" w:w="6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ContactPage, LocalBusiness</w:t>
            </w:r>
          </w:p>
        </w:tc>
      </w:tr>
    </w:tbl>
    <w:p>
      <w:pPr>
        <w:spacing w:after="0" w:before="0"/>
      </w:pPr>
      <w:r>
        <w:t xml:space="preserve"/>
      </w:r>
    </w:p>
    <w:p>
      <w:pPr>
        <w:pStyle w:val="Heading2"/>
      </w:pPr>
      <w:r>
        <w:rPr>
          <w:rFonts w:ascii="Arial" w:cs="Arial" w:eastAsia="Arial" w:hAnsi="Arial"/>
          <w:color w:val="1A3A6B"/>
        </w:rPr>
        <w:t xml:space="preserve">9.3 Content Architecture</w:t>
      </w:r>
    </w:p>
    <w:p>
      <w:pPr>
        <w:spacing w:after="100"/>
      </w:pPr>
      <w:r>
        <w:rPr>
          <w:rFonts w:ascii="Arial" w:cs="Arial" w:eastAsia="Arial" w:hAnsi="Arial"/>
          <w:b w:val="false"/>
          <w:bCs w:val="false"/>
          <w:color w:val="4A5568"/>
          <w:sz w:val="20"/>
          <w:szCs w:val="20"/>
        </w:rPr>
        <w:t xml:space="preserve">Hub-and-spoke model with two primary pillar pages each supported by 15-20 cluster articles.</w:t>
      </w:r>
    </w:p>
    <w:p>
      <w:pPr>
        <w:pStyle w:val="ListParagraph"/>
        <w:numPr>
          <w:ilvl w:val="0"/>
          <w:numId w:val="2"/>
        </w:numPr>
        <w:spacing w:after="60"/>
      </w:pPr>
      <w:r>
        <w:rPr>
          <w:rFonts w:ascii="Arial" w:cs="Arial" w:eastAsia="Arial" w:hAnsi="Arial"/>
          <w:color w:val="4A5568"/>
          <w:sz w:val="20"/>
          <w:szCs w:val="20"/>
        </w:rPr>
        <w:t xml:space="preserve">Pillar 1: "SIPP Property Finance — The Complete UK Guide" (3,000+ words)  at /commercial-property-sipp</w:t>
      </w:r>
    </w:p>
    <w:p>
      <w:pPr>
        <w:pStyle w:val="ListParagraph"/>
        <w:numPr>
          <w:ilvl w:val="0"/>
          <w:numId w:val="2"/>
        </w:numPr>
        <w:spacing w:after="60"/>
      </w:pPr>
      <w:r>
        <w:rPr>
          <w:rFonts w:ascii="Arial" w:cs="Arial" w:eastAsia="Arial" w:hAnsi="Arial"/>
          <w:color w:val="4A5568"/>
          <w:sz w:val="20"/>
          <w:szCs w:val="20"/>
        </w:rPr>
        <w:t xml:space="preserve">Pillar 2: "SSAS Property Loans Explained" (2,500+ words)  at /ssas-property-finance</w:t>
      </w:r>
    </w:p>
    <w:p>
      <w:pPr>
        <w:pStyle w:val="ListParagraph"/>
        <w:numPr>
          <w:ilvl w:val="0"/>
          <w:numId w:val="2"/>
        </w:numPr>
        <w:spacing w:after="60"/>
      </w:pPr>
      <w:r>
        <w:rPr>
          <w:rFonts w:ascii="Arial" w:cs="Arial" w:eastAsia="Arial" w:hAnsi="Arial"/>
          <w:color w:val="4A5568"/>
          <w:sz w:val="20"/>
          <w:szCs w:val="20"/>
        </w:rPr>
        <w:t xml:space="preserve">Calculator pages as standalone SEO assets with full schema.org markup</w:t>
      </w:r>
    </w:p>
    <w:p>
      <w:pPr>
        <w:pStyle w:val="ListParagraph"/>
        <w:numPr>
          <w:ilvl w:val="0"/>
          <w:numId w:val="2"/>
        </w:numPr>
        <w:spacing w:after="60"/>
      </w:pPr>
      <w:r>
        <w:rPr>
          <w:rFonts w:ascii="Arial" w:cs="Arial" w:eastAsia="Arial" w:hAnsi="Arial"/>
          <w:color w:val="4A5568"/>
          <w:sz w:val="20"/>
          <w:szCs w:val="20"/>
        </w:rPr>
        <w:t xml:space="preserve">City-specific pages: "SIPP Commercial Property Finance in [City]" — 10 UK cities at launch</w:t>
      </w:r>
    </w:p>
    <w:p>
      <w:pPr>
        <w:pStyle w:val="ListParagraph"/>
        <w:numPr>
          <w:ilvl w:val="0"/>
          <w:numId w:val="2"/>
        </w:numPr>
        <w:spacing w:after="60"/>
      </w:pPr>
      <w:r>
        <w:rPr>
          <w:rFonts w:ascii="Arial" w:cs="Arial" w:eastAsia="Arial" w:hAnsi="Arial"/>
          <w:color w:val="4A5568"/>
          <w:sz w:val="20"/>
          <w:szCs w:val="20"/>
        </w:rPr>
        <w:t xml:space="preserve">Property-type pages: industrial units, retail premises, office buildings, mixed-use, HMO exclusion guide</w:t>
      </w:r>
    </w:p>
    <w:p>
      <w:pPr>
        <w:pStyle w:val="ListParagraph"/>
        <w:numPr>
          <w:ilvl w:val="0"/>
          <w:numId w:val="2"/>
        </w:numPr>
        <w:spacing w:after="60"/>
      </w:pPr>
      <w:r>
        <w:rPr>
          <w:rFonts w:ascii="Arial" w:cs="Arial" w:eastAsia="Arial" w:hAnsi="Arial"/>
          <w:color w:val="4A5568"/>
          <w:sz w:val="20"/>
          <w:szCs w:val="20"/>
        </w:rPr>
        <w:t xml:space="preserve">Comparison pages: "SIPP vs SSAS Property Finance", "SIPP Mortgage vs Commercial Mortgage"</w:t>
      </w:r>
    </w:p>
    <w:p>
      <w:pPr>
        <w:pStyle w:val="ListParagraph"/>
        <w:numPr>
          <w:ilvl w:val="0"/>
          <w:numId w:val="2"/>
        </w:numPr>
        <w:spacing w:after="60"/>
      </w:pPr>
      <w:r>
        <w:rPr>
          <w:rFonts w:ascii="Arial" w:cs="Arial" w:eastAsia="Arial" w:hAnsi="Arial"/>
          <w:color w:val="4A5568"/>
          <w:sz w:val="20"/>
          <w:szCs w:val="20"/>
        </w:rPr>
        <w:t xml:space="preserve">FAQ clusters targeting People Also Ask SERP features on every product and guide page</w:t>
      </w:r>
    </w:p>
    <w:p>
      <w:pPr>
        <w:spacing w:after="0" w:before="0"/>
      </w:pPr>
      <w:r>
        <w:t xml:space="preserve"/>
      </w:r>
    </w:p>
    <w:p>
      <w:r>
        <w:br w:type="page"/>
      </w:r>
    </w:p>
    <w:p>
      <w:pPr>
        <w:pStyle w:val="Heading1"/>
      </w:pPr>
      <w:r>
        <w:rPr>
          <w:rFonts w:ascii="Arial" w:cs="Arial" w:eastAsia="Arial" w:hAnsi="Arial"/>
          <w:color w:val="0A1628"/>
        </w:rPr>
        <w:t xml:space="preserve">10. Compliance &amp; Regulatory Requirements</w:t>
      </w:r>
    </w:p>
    <w:p>
      <w:pPr>
        <w:spacing w:after="0" w:before="0"/>
      </w:pPr>
      <w:r>
        <w:t xml:space="preserve"/>
      </w:r>
    </w:p>
    <w:tbl>
      <w:tblPr>
        <w:tblW w:type="dxa" w:w="9026"/>
        <w:tblBorders>
          <w:top w:val="single" w:color="C9A84C" w:sz="12"/>
          <w:left w:val="single" w:color="C9A84C" w:sz="12"/>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3D8" w:val="clear"/>
            <w:tcMar>
              <w:top w:type="dxa" w:w="80"/>
              <w:left w:type="dxa" w:w="160"/>
              <w:bottom w:type="dxa" w:w="80"/>
              <w:right w:type="dxa" w:w="160"/>
            </w:tcMar>
          </w:tcPr>
          <w:p>
            <w:r>
              <w:rPr>
                <w:rFonts w:ascii="Arial" w:cs="Arial" w:eastAsia="Arial" w:hAnsi="Arial"/>
                <w:i/>
                <w:iCs/>
                <w:color w:val="0A1628"/>
                <w:sz w:val="19"/>
                <w:szCs w:val="19"/>
              </w:rPr>
              <w:t xml:space="preserve">SIPP property finance intersects FCA-regulated mortgage activities, HMRC pension rules, and property law.</w:t>
            </w:r>
          </w:p>
        </w:tc>
      </w:tr>
      <w:tr>
        <w:tc>
          <w:tcPr>
            <w:tcW w:type="dxa" w:w="9026"/>
            <w:tcBorders>
              <w:top w:val="none" w:color="FFFFFF" w:sz="0"/>
              <w:left w:val="none" w:color="FFFFFF" w:sz="0"/>
              <w:bottom w:val="none" w:color="FFFFFF" w:sz="0"/>
              <w:right w:val="none" w:color="FFFFFF" w:sz="0"/>
            </w:tcBorders>
            <w:shd w:fill="FDF3D8" w:val="clear"/>
            <w:tcMar>
              <w:top w:type="dxa" w:w="80"/>
              <w:left w:type="dxa" w:w="160"/>
              <w:bottom w:type="dxa" w:w="80"/>
              <w:right w:type="dxa" w:w="160"/>
            </w:tcMar>
          </w:tcPr>
          <w:p>
            <w:r>
              <w:rPr>
                <w:rFonts w:ascii="Arial" w:cs="Arial" w:eastAsia="Arial" w:hAnsi="Arial"/>
                <w:i/>
                <w:iCs/>
                <w:color w:val="0A1628"/>
                <w:sz w:val="19"/>
                <w:szCs w:val="19"/>
              </w:rPr>
              <w:t xml:space="preserve">All content must be clearly presented as general information only. Specific financial advice must never be implied.</w:t>
            </w:r>
          </w:p>
        </w:tc>
      </w:tr>
    </w:tbl>
    <w:p>
      <w:pPr>
        <w:spacing w:after="0" w:before="0"/>
      </w:pPr>
      <w:r>
        <w:t xml:space="preserve"/>
      </w:r>
    </w:p>
    <w:p>
      <w:pPr>
        <w:pStyle w:val="Heading2"/>
      </w:pPr>
      <w:r>
        <w:rPr>
          <w:rFonts w:ascii="Arial" w:cs="Arial" w:eastAsia="Arial" w:hAnsi="Arial"/>
          <w:color w:val="1A3A6B"/>
        </w:rPr>
        <w:t xml:space="preserve">10.1 FCA Requirements</w:t>
      </w:r>
    </w:p>
    <w:p>
      <w:pPr>
        <w:pStyle w:val="ListParagraph"/>
        <w:numPr>
          <w:ilvl w:val="0"/>
          <w:numId w:val="2"/>
        </w:numPr>
        <w:spacing w:after="60"/>
      </w:pPr>
      <w:r>
        <w:rPr>
          <w:rFonts w:ascii="Arial" w:cs="Arial" w:eastAsia="Arial" w:hAnsi="Arial"/>
          <w:color w:val="4A5568"/>
          <w:sz w:val="20"/>
          <w:szCs w:val="20"/>
        </w:rPr>
        <w:t xml:space="preserve">All financial promotions must be fair, clear and not misleading (FCA COBS 4.2)</w:t>
      </w:r>
    </w:p>
    <w:p>
      <w:pPr>
        <w:pStyle w:val="ListParagraph"/>
        <w:numPr>
          <w:ilvl w:val="0"/>
          <w:numId w:val="2"/>
        </w:numPr>
        <w:spacing w:after="60"/>
      </w:pPr>
      <w:r>
        <w:rPr>
          <w:rFonts w:ascii="Arial" w:cs="Arial" w:eastAsia="Arial" w:hAnsi="Arial"/>
          <w:color w:val="4A5568"/>
          <w:sz w:val="20"/>
          <w:szCs w:val="20"/>
        </w:rPr>
        <w:t xml:space="preserve">Footer must display: 'Lenzie Consulting Ltd is authorised and regulated by the Financial Conduct Authority' with FCA firm reference number</w:t>
      </w:r>
    </w:p>
    <w:p>
      <w:pPr>
        <w:pStyle w:val="ListParagraph"/>
        <w:numPr>
          <w:ilvl w:val="0"/>
          <w:numId w:val="2"/>
        </w:numPr>
        <w:spacing w:after="60"/>
      </w:pPr>
      <w:r>
        <w:rPr>
          <w:rFonts w:ascii="Arial" w:cs="Arial" w:eastAsia="Arial" w:hAnsi="Arial"/>
          <w:color w:val="4A5568"/>
          <w:sz w:val="20"/>
          <w:szCs w:val="20"/>
        </w:rPr>
        <w:t xml:space="preserve">All calculator and product pages must include the standard FCA information disclaimer</w:t>
      </w:r>
    </w:p>
    <w:p>
      <w:pPr>
        <w:pStyle w:val="ListParagraph"/>
        <w:numPr>
          <w:ilvl w:val="0"/>
          <w:numId w:val="2"/>
        </w:numPr>
        <w:spacing w:after="60"/>
      </w:pPr>
      <w:r>
        <w:rPr>
          <w:rFonts w:ascii="Arial" w:cs="Arial" w:eastAsia="Arial" w:hAnsi="Arial"/>
          <w:color w:val="4A5568"/>
          <w:sz w:val="20"/>
          <w:szCs w:val="20"/>
        </w:rPr>
        <w:t xml:space="preserve">No specific product recommendations or guaranteed rate statements on the site</w:t>
      </w:r>
    </w:p>
    <w:p>
      <w:pPr>
        <w:pStyle w:val="ListParagraph"/>
        <w:numPr>
          <w:ilvl w:val="0"/>
          <w:numId w:val="2"/>
        </w:numPr>
        <w:spacing w:after="60"/>
      </w:pPr>
      <w:r>
        <w:rPr>
          <w:rFonts w:ascii="Arial" w:cs="Arial" w:eastAsia="Arial" w:hAnsi="Arial"/>
          <w:color w:val="4A5568"/>
          <w:sz w:val="20"/>
          <w:szCs w:val="20"/>
        </w:rPr>
        <w:t xml:space="preserve">Financial promotions must be approved by an FCA-authorised person before publication</w:t>
      </w:r>
    </w:p>
    <w:p>
      <w:pPr>
        <w:spacing w:after="0" w:before="0"/>
      </w:pPr>
      <w:r>
        <w:t xml:space="preserve"/>
      </w:r>
    </w:p>
    <w:p>
      <w:pPr>
        <w:pStyle w:val="Heading2"/>
      </w:pPr>
      <w:r>
        <w:rPr>
          <w:rFonts w:ascii="Arial" w:cs="Arial" w:eastAsia="Arial" w:hAnsi="Arial"/>
          <w:color w:val="1A3A6B"/>
        </w:rPr>
        <w:t xml:space="preserve">10.2 GDPR &amp; Data Protection</w:t>
      </w:r>
    </w:p>
    <w:p>
      <w:pPr>
        <w:pStyle w:val="ListParagraph"/>
        <w:numPr>
          <w:ilvl w:val="0"/>
          <w:numId w:val="2"/>
        </w:numPr>
        <w:spacing w:after="60"/>
      </w:pPr>
      <w:r>
        <w:rPr>
          <w:rFonts w:ascii="Arial" w:cs="Arial" w:eastAsia="Arial" w:hAnsi="Arial"/>
          <w:color w:val="4A5568"/>
          <w:sz w:val="20"/>
          <w:szCs w:val="20"/>
        </w:rPr>
        <w:t xml:space="preserve">All lead forms must include an unchecked opt-in checkbox for marketing communications</w:t>
      </w:r>
    </w:p>
    <w:p>
      <w:pPr>
        <w:pStyle w:val="ListParagraph"/>
        <w:numPr>
          <w:ilvl w:val="0"/>
          <w:numId w:val="2"/>
        </w:numPr>
        <w:spacing w:after="60"/>
      </w:pPr>
      <w:r>
        <w:rPr>
          <w:rFonts w:ascii="Arial" w:cs="Arial" w:eastAsia="Arial" w:hAnsi="Arial"/>
          <w:color w:val="4A5568"/>
          <w:sz w:val="20"/>
          <w:szCs w:val="20"/>
        </w:rPr>
        <w:t xml:space="preserve">Lawful basis: legitimate interest for service enquiries; explicit consent for marketing emails</w:t>
      </w:r>
    </w:p>
    <w:p>
      <w:pPr>
        <w:pStyle w:val="ListParagraph"/>
        <w:numPr>
          <w:ilvl w:val="0"/>
          <w:numId w:val="2"/>
        </w:numPr>
        <w:spacing w:after="60"/>
      </w:pPr>
      <w:r>
        <w:rPr>
          <w:rFonts w:ascii="Arial" w:cs="Arial" w:eastAsia="Arial" w:hAnsi="Arial"/>
          <w:color w:val="4A5568"/>
          <w:sz w:val="20"/>
          <w:szCs w:val="20"/>
        </w:rPr>
        <w:t xml:space="preserve">Privacy policy page required detailing data controller, retention periods (24 months), and data subject rights</w:t>
      </w:r>
    </w:p>
    <w:p>
      <w:pPr>
        <w:pStyle w:val="ListParagraph"/>
        <w:numPr>
          <w:ilvl w:val="0"/>
          <w:numId w:val="2"/>
        </w:numPr>
        <w:spacing w:after="60"/>
      </w:pPr>
      <w:r>
        <w:rPr>
          <w:rFonts w:ascii="Arial" w:cs="Arial" w:eastAsia="Arial" w:hAnsi="Arial"/>
          <w:color w:val="4A5568"/>
          <w:sz w:val="20"/>
          <w:szCs w:val="20"/>
        </w:rPr>
        <w:t xml:space="preserve">Plausible Analytics is cookieless — no cookie consent banner required for analytics</w:t>
      </w:r>
    </w:p>
    <w:p>
      <w:pPr>
        <w:pStyle w:val="ListParagraph"/>
        <w:numPr>
          <w:ilvl w:val="0"/>
          <w:numId w:val="2"/>
        </w:numPr>
        <w:spacing w:after="60"/>
      </w:pPr>
      <w:r>
        <w:rPr>
          <w:rFonts w:ascii="Arial" w:cs="Arial" w:eastAsia="Arial" w:hAnsi="Arial"/>
          <w:color w:val="4A5568"/>
          <w:sz w:val="20"/>
          <w:szCs w:val="20"/>
        </w:rPr>
        <w:t xml:space="preserve">Microsoft Clarity requires cookie consent — categorised as analytics/performance cookies</w:t>
      </w:r>
    </w:p>
    <w:p>
      <w:pPr>
        <w:pStyle w:val="ListParagraph"/>
        <w:numPr>
          <w:ilvl w:val="0"/>
          <w:numId w:val="2"/>
        </w:numPr>
        <w:spacing w:after="60"/>
      </w:pPr>
      <w:r>
        <w:rPr>
          <w:rFonts w:ascii="Arial" w:cs="Arial" w:eastAsia="Arial" w:hAnsi="Arial"/>
          <w:color w:val="4A5568"/>
          <w:sz w:val="20"/>
          <w:szCs w:val="20"/>
        </w:rPr>
        <w:t xml:space="preserve">Data Processing Agreements required with GoHighLevel and Instantly.ai as data processors</w:t>
      </w:r>
    </w:p>
    <w:p>
      <w:pPr>
        <w:spacing w:after="0" w:before="0"/>
      </w:pPr>
      <w:r>
        <w:t xml:space="preserve"/>
      </w:r>
    </w:p>
    <w:p>
      <w:pPr>
        <w:pStyle w:val="Heading2"/>
      </w:pPr>
      <w:r>
        <w:rPr>
          <w:rFonts w:ascii="Arial" w:cs="Arial" w:eastAsia="Arial" w:hAnsi="Arial"/>
          <w:color w:val="1A3A6B"/>
        </w:rPr>
        <w:t xml:space="preserve">10.3 HMRC SIPP Content Accuracy</w:t>
      </w:r>
    </w:p>
    <w:p>
      <w:pPr>
        <w:pStyle w:val="ListParagraph"/>
        <w:numPr>
          <w:ilvl w:val="0"/>
          <w:numId w:val="2"/>
        </w:numPr>
        <w:spacing w:after="60"/>
      </w:pPr>
      <w:r>
        <w:rPr>
          <w:rFonts w:ascii="Arial" w:cs="Arial" w:eastAsia="Arial" w:hAnsi="Arial"/>
          <w:color w:val="4A5568"/>
          <w:sz w:val="20"/>
          <w:szCs w:val="20"/>
        </w:rPr>
        <w:t xml:space="preserve">All content regarding permitted property investments must cite current HMRC guidance (RPSM03107030)</w:t>
      </w:r>
    </w:p>
    <w:p>
      <w:pPr>
        <w:pStyle w:val="ListParagraph"/>
        <w:numPr>
          <w:ilvl w:val="0"/>
          <w:numId w:val="2"/>
        </w:numPr>
        <w:spacing w:after="60"/>
      </w:pPr>
      <w:r>
        <w:rPr>
          <w:rFonts w:ascii="Arial" w:cs="Arial" w:eastAsia="Arial" w:hAnsi="Arial"/>
          <w:color w:val="4A5568"/>
          <w:sz w:val="20"/>
          <w:szCs w:val="20"/>
        </w:rPr>
        <w:t xml:space="preserve">HMRC rule changes must be reflected in content within 30 days of publication</w:t>
      </w:r>
    </w:p>
    <w:p>
      <w:pPr>
        <w:pStyle w:val="ListParagraph"/>
        <w:numPr>
          <w:ilvl w:val="0"/>
          <w:numId w:val="2"/>
        </w:numPr>
        <w:spacing w:after="60"/>
      </w:pPr>
      <w:r>
        <w:rPr>
          <w:rFonts w:ascii="Arial" w:cs="Arial" w:eastAsia="Arial" w:hAnsi="Arial"/>
          <w:color w:val="4A5568"/>
          <w:sz w:val="20"/>
          <w:szCs w:val="20"/>
        </w:rPr>
        <w:t xml:space="preserve">Legal review of the Permitted Property Types checker is recommended before launch</w:t>
      </w:r>
    </w:p>
    <w:p>
      <w:pPr>
        <w:pStyle w:val="ListParagraph"/>
        <w:numPr>
          <w:ilvl w:val="0"/>
          <w:numId w:val="2"/>
        </w:numPr>
        <w:spacing w:after="60"/>
      </w:pPr>
      <w:r>
        <w:rPr>
          <w:rFonts w:ascii="Arial" w:cs="Arial" w:eastAsia="Arial" w:hAnsi="Arial"/>
          <w:color w:val="4A5568"/>
          <w:sz w:val="20"/>
          <w:szCs w:val="20"/>
        </w:rPr>
        <w:t xml:space="preserve">Content must not imply residential property is permissible within a SIPP (except narrow exceptions)</w:t>
      </w:r>
    </w:p>
    <w:p>
      <w:pPr>
        <w:spacing w:after="0" w:before="0"/>
      </w:pPr>
      <w:r>
        <w:t xml:space="preserve"/>
      </w:r>
    </w:p>
    <w:p>
      <w:r>
        <w:br w:type="page"/>
      </w:r>
    </w:p>
    <w:p>
      <w:pPr>
        <w:pStyle w:val="Heading1"/>
      </w:pPr>
      <w:r>
        <w:rPr>
          <w:rFonts w:ascii="Arial" w:cs="Arial" w:eastAsia="Arial" w:hAnsi="Arial"/>
          <w:color w:val="0A1628"/>
        </w:rPr>
        <w:t xml:space="preserve">11. Feature Backlog</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400"/>
        <w:gridCol w:w="900"/>
        <w:gridCol w:w="826"/>
        <w:gridCol w:w="1500"/>
      </w:tblGrid>
      <w:tr>
        <w:trPr>
          <w:tblHeader/>
        </w:trPr>
        <w:tc>
          <w:tcPr>
            <w:tcW w:type="dxa" w:w="6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ID</w:t>
            </w:r>
          </w:p>
        </w:tc>
        <w:tc>
          <w:tcPr>
            <w:tcW w:type="dxa" w:w="38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Feature</w:t>
            </w:r>
          </w:p>
        </w:tc>
        <w:tc>
          <w:tcPr>
            <w:tcW w:type="dxa" w:w="14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Category</w:t>
            </w:r>
          </w:p>
        </w:tc>
        <w:tc>
          <w:tcPr>
            <w:tcW w:type="dxa" w:w="9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Effort</w:t>
            </w:r>
          </w:p>
        </w:tc>
        <w:tc>
          <w:tcPr>
            <w:tcW w:type="dxa" w:w="8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15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F-01</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Homepage glassmorphism hero with animated background</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Design</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Framer Motion</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F-02</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SIPP Mortgage Calculator with amortisation table</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Calculator</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Recharts, client-side</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F-03</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SIPP LTV Calculator (50% cap logic)</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Calculator</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Inline on homepage</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F-04</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Multi-step lead enquiry form (4 steps)</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Lead Gen</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GHL + n8n + Instantly</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F-05</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FCA-compliant footer with all disclosures</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Compliance</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Legal review required</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F-06</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SIPP Property Finance pillar guide page</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Content/SEO</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3,000+ words, schema</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F-07</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Trust bar (FCA, lenders, stats)</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Design</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C0392B"/>
                <w:sz w:val="17"/>
                <w:szCs w:val="17"/>
              </w:rPr>
              <w:t xml:space="preserve">P0</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Above fold, homepage</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F-08</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Lender comparison table (filterable)</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Product</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Filter: LTV, min loan</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F-09</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Permitted Property Types checker</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Product</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HMRC status per type</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F-10</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Case study library with property type filter</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Content</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MDX, anonymised deals</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F-11</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FAQ accordion with FAQPage JSON-LD</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SEO</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People Also Ask target</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F-12</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SSAS Loanback Calculator</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Calculator</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HMRC 5-year rule logic</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F-13</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Rental Yield Calculator</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Calculator</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Gross/net, SIPP surplus</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F-14</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SSAS Property Finance product page</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Content/SEO</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B7791F"/>
                <w:sz w:val="17"/>
                <w:szCs w:val="17"/>
              </w:rPr>
              <w:t xml:space="preserve">P1</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Pillar page</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F-15</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IFA Referral Form with Calendly</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Lead Gen</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2B6CB0"/>
                <w:sz w:val="17"/>
                <w:szCs w:val="17"/>
              </w:rPr>
              <w:t xml:space="preserve">P2</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FCA number validation</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F-16</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Blog / content cluster (Contentlayer MDX)</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SEO</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XL</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2B6CB0"/>
                <w:sz w:val="17"/>
                <w:szCs w:val="17"/>
              </w:rPr>
              <w:t xml:space="preserve">P2</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50 articles target</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F-17</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City-specific programmatic landing pages</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SEO</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2B6CB0"/>
                <w:sz w:val="17"/>
                <w:szCs w:val="17"/>
              </w:rPr>
              <w:t xml:space="preserve">P2</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10 UK cities at launch</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F-18</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Stamp Duty (SIPP) Calculator</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Calculator</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2B6CB0"/>
                <w:sz w:val="17"/>
                <w:szCs w:val="17"/>
              </w:rPr>
              <w:t xml:space="preserve">P2</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3% surcharge logic</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F-19</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PDF Indicative Terms auto-generator</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Automation</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2B6CB0"/>
                <w:sz w:val="17"/>
                <w:szCs w:val="17"/>
              </w:rPr>
              <w:t xml:space="preserve">P2</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On form submit</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F-20</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Pension Contribution Planner</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Calculator</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2B6CB0"/>
                <w:sz w:val="17"/>
                <w:szCs w:val="17"/>
              </w:rPr>
              <w:t xml:space="preserve">P2</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Chart + annual targets</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F-21</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LinkedIn lead form integration (n8n)</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Lead Gen</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M</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4A5568"/>
                <w:sz w:val="17"/>
                <w:szCs w:val="17"/>
              </w:rPr>
              <w:t xml:space="preserve">P3</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LI Lead Gen Forms</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F-22</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Alltrust Services cross-promotion widget</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Partnership</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4A5568"/>
                <w:sz w:val="17"/>
                <w:szCs w:val="17"/>
              </w:rPr>
              <w:t xml:space="preserve">P3</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SIPP provider referral</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F-23</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Developers Community referral module</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Partnership</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4A5568"/>
                <w:sz w:val="17"/>
                <w:szCs w:val="17"/>
              </w:rPr>
              <w:t xml:space="preserve">P3</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Developer audience CTA</w:t>
            </w:r>
          </w:p>
        </w:tc>
      </w:tr>
      <w:tr>
        <w:tc>
          <w:tcPr>
            <w:tcW w:type="dxa" w:w="6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F-24</w:t>
            </w:r>
          </w:p>
        </w:tc>
        <w:tc>
          <w:tcPr>
            <w:tcW w:type="dxa" w:w="38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Live chat widget (GHL)</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Conversion</w:t>
            </w:r>
          </w:p>
        </w:tc>
        <w:tc>
          <w:tcPr>
            <w:tcW w:type="dxa" w:w="9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S</w:t>
            </w:r>
          </w:p>
        </w:tc>
        <w:tc>
          <w:tcPr>
            <w:tcW w:type="dxa" w:w="8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bCs/>
                <w:color w:val="4A5568"/>
                <w:sz w:val="17"/>
                <w:szCs w:val="17"/>
              </w:rPr>
              <w:t xml:space="preserve">P3</w:t>
            </w:r>
          </w:p>
        </w:tc>
        <w:tc>
          <w:tcPr>
            <w:tcW w:type="dxa" w:w="15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Business hours only</w:t>
            </w:r>
          </w:p>
        </w:tc>
      </w:tr>
      <w:tr>
        <w:tc>
          <w:tcPr>
            <w:tcW w:type="dxa" w:w="6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F-25</w:t>
            </w:r>
          </w:p>
        </w:tc>
        <w:tc>
          <w:tcPr>
            <w:tcW w:type="dxa" w:w="38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Property-type programmatic pages</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7"/>
                <w:szCs w:val="17"/>
              </w:rPr>
              <w:t xml:space="preserve">SEO</w:t>
            </w:r>
          </w:p>
        </w:tc>
        <w:tc>
          <w:tcPr>
            <w:tcW w:type="dxa" w:w="9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17"/>
                <w:szCs w:val="17"/>
              </w:rPr>
              <w:t xml:space="preserve">L</w:t>
            </w:r>
          </w:p>
        </w:tc>
        <w:tc>
          <w:tcPr>
            <w:tcW w:type="dxa" w:w="8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4A5568"/>
                <w:sz w:val="17"/>
                <w:szCs w:val="17"/>
              </w:rPr>
              <w:t xml:space="preserve">P3</w:t>
            </w:r>
          </w:p>
        </w:tc>
        <w:tc>
          <w:tcPr>
            <w:tcW w:type="dxa" w:w="15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6"/>
                <w:szCs w:val="16"/>
              </w:rPr>
              <w:t xml:space="preserve">Office, industrial, retail</w:t>
            </w:r>
          </w:p>
        </w:tc>
      </w:tr>
    </w:tbl>
    <w:p>
      <w:pPr>
        <w:spacing w:after="0" w:before="0"/>
      </w:pPr>
      <w:r>
        <w:t xml:space="preserve"/>
      </w:r>
    </w:p>
    <w:p>
      <w:pPr>
        <w:spacing w:after="100"/>
      </w:pPr>
      <w:r>
        <w:rPr>
          <w:rFonts w:ascii="Arial" w:cs="Arial" w:eastAsia="Arial" w:hAnsi="Arial"/>
          <w:b w:val="false"/>
          <w:bCs w:val="false"/>
          <w:color w:val="4A5568"/>
          <w:sz w:val="18"/>
          <w:szCs w:val="18"/>
        </w:rPr>
        <w:t xml:space="preserve">Priority key: P0 = launch blocker | P1 = launch +30 days | P2 = Month 2–3 | P3 = Month 4+.  Effort: S = 1-2 days, M = 3-5 days, L = 1-2 weeks, XL = 2+ weeks.</w:t>
      </w:r>
    </w:p>
    <w:p>
      <w:pPr>
        <w:spacing w:after="0" w:before="0"/>
      </w:pPr>
      <w:r>
        <w:t xml:space="preserve"/>
      </w:r>
    </w:p>
    <w:p>
      <w:r>
        <w:br w:type="page"/>
      </w:r>
    </w:p>
    <w:p>
      <w:pPr>
        <w:pStyle w:val="Heading1"/>
      </w:pPr>
      <w:r>
        <w:rPr>
          <w:rFonts w:ascii="Arial" w:cs="Arial" w:eastAsia="Arial" w:hAnsi="Arial"/>
          <w:color w:val="0A1628"/>
        </w:rPr>
        <w:t xml:space="preserve">12. Build Roadmap</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Phase</w:t>
            </w:r>
          </w:p>
        </w:tc>
        <w:tc>
          <w:tcPr>
            <w:tcW w:type="dxa" w:w="70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Deliverables</w:t>
            </w:r>
          </w:p>
        </w:tc>
      </w:tr>
      <w:tr>
        <w:tc>
          <w:tcPr>
            <w:tcW w:type="dxa" w:w="2000"/>
            <w:tcBorders>
              <w:top w:val="single" w:color="CBD5E0" w:sz="4"/>
              <w:left w:val="single" w:color="CBD5E0" w:sz="4"/>
              <w:bottom w:val="single" w:color="CBD5E0" w:sz="4"/>
              <w:right w:val="single" w:color="CBD5E0" w:sz="4"/>
            </w:tcBorders>
            <w:shd w:fill="0A1628" w:val="clear"/>
            <w:tcMar>
              <w:top w:type="dxa" w:w="120"/>
              <w:left w:type="dxa" w:w="160"/>
              <w:bottom w:type="dxa" w:w="120"/>
              <w:right w:type="dxa" w:w="160"/>
            </w:tcMar>
            <w:vAlign w:val="top"/>
          </w:tcPr>
          <w:p>
            <w:pPr>
              <w:spacing w:after="40"/>
            </w:pPr>
            <w:r>
              <w:rPr>
                <w:rFonts w:ascii="Arial" w:cs="Arial" w:eastAsia="Arial" w:hAnsi="Arial"/>
                <w:b/>
                <w:bCs/>
                <w:color w:val="C9A84C"/>
                <w:sz w:val="22"/>
                <w:szCs w:val="22"/>
              </w:rPr>
              <w:t xml:space="preserve">Phase 1</w:t>
            </w:r>
          </w:p>
          <w:p>
            <w:pPr>
              <w:spacing w:after="40"/>
            </w:pPr>
            <w:r>
              <w:rPr>
                <w:rFonts w:ascii="Arial" w:cs="Arial" w:eastAsia="Arial" w:hAnsi="Arial"/>
                <w:b w:val="false"/>
                <w:bCs w:val="false"/>
                <w:color w:val="B0C4DE"/>
                <w:sz w:val="17"/>
                <w:szCs w:val="17"/>
              </w:rPr>
              <w:t xml:space="preserve">Weeks 1–2</w:t>
            </w:r>
          </w:p>
          <w:p>
            <w:pPr>
              <w:spacing w:after="40"/>
            </w:pPr>
            <w:r>
              <w:rPr>
                <w:rFonts w:ascii="Arial" w:cs="Arial" w:eastAsia="Arial" w:hAnsi="Arial"/>
                <w:b w:val="false"/>
                <w:bCs w:val="false"/>
                <w:color w:val="B0C4DE"/>
                <w:sz w:val="17"/>
                <w:szCs w:val="17"/>
              </w:rPr>
              <w:t xml:space="preserve">Foundation</w:t>
            </w:r>
          </w:p>
        </w:tc>
        <w:tc>
          <w:tcPr>
            <w:tcW w:type="dxa" w:w="7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Next.js 16 project scaffolding (shadcn/ui, Tailwind v4, TypeScript, Framer Motion). Glassmorphism design system tokens and base components (glass card, nav, hero). Homepage: Hero, Trust Bar, Product Grid, SIPP LTV Calculator widget, FAQ accordion, Lead Form. SIPP Mortgage Calculator (F-02). POST /api/enquiry with GoHighLevel integration and Telegram notification. FCA-compliant footer. Vercel deployment with CI/CD pipeline.</w:t>
            </w:r>
          </w:p>
        </w:tc>
      </w:tr>
      <w:tr>
        <w:tc>
          <w:tcPr>
            <w:tcW w:type="dxa" w:w="2000"/>
            <w:tcBorders>
              <w:top w:val="single" w:color="CBD5E0" w:sz="4"/>
              <w:left w:val="single" w:color="CBD5E0" w:sz="4"/>
              <w:bottom w:val="single" w:color="CBD5E0" w:sz="4"/>
              <w:right w:val="single" w:color="CBD5E0" w:sz="4"/>
            </w:tcBorders>
            <w:shd w:fill="1A3A6B" w:val="clear"/>
            <w:tcMar>
              <w:top w:type="dxa" w:w="120"/>
              <w:left w:type="dxa" w:w="160"/>
              <w:bottom w:type="dxa" w:w="120"/>
              <w:right w:type="dxa" w:w="160"/>
            </w:tcMar>
            <w:vAlign w:val="top"/>
          </w:tcPr>
          <w:p>
            <w:pPr>
              <w:spacing w:after="40"/>
            </w:pPr>
            <w:r>
              <w:rPr>
                <w:rFonts w:ascii="Arial" w:cs="Arial" w:eastAsia="Arial" w:hAnsi="Arial"/>
                <w:b/>
                <w:bCs/>
                <w:color w:val="C9A84C"/>
                <w:sz w:val="22"/>
                <w:szCs w:val="22"/>
              </w:rPr>
              <w:t xml:space="preserve">Phase 2</w:t>
            </w:r>
          </w:p>
          <w:p>
            <w:pPr>
              <w:spacing w:after="40"/>
            </w:pPr>
            <w:r>
              <w:rPr>
                <w:rFonts w:ascii="Arial" w:cs="Arial" w:eastAsia="Arial" w:hAnsi="Arial"/>
                <w:b w:val="false"/>
                <w:bCs w:val="false"/>
                <w:color w:val="B0C4DE"/>
                <w:sz w:val="17"/>
                <w:szCs w:val="17"/>
              </w:rPr>
              <w:t xml:space="preserve">Weeks 3–4</w:t>
            </w:r>
          </w:p>
          <w:p>
            <w:pPr>
              <w:spacing w:after="40"/>
            </w:pPr>
            <w:r>
              <w:rPr>
                <w:rFonts w:ascii="Arial" w:cs="Arial" w:eastAsia="Arial" w:hAnsi="Arial"/>
                <w:b w:val="false"/>
                <w:bCs w:val="false"/>
                <w:color w:val="B0C4DE"/>
                <w:sz w:val="17"/>
                <w:szCs w:val="17"/>
              </w:rPr>
              <w:t xml:space="preserve">Core Product Pages</w:t>
            </w:r>
          </w:p>
        </w:tc>
        <w:tc>
          <w:tcPr>
            <w:tcW w:type="dxa" w:w="7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SIPP Property Mortgage product page with pillar guide content. SSAS Property Finance product page. Permitted Property Types checker (F-09). Lender comparison table (F-08). Schema.org implementation across all pages. XML sitemap + robots.txt + Google Search Console submission. Contact and IFA Referral form with Calendly (F-15).</w:t>
            </w:r>
          </w:p>
        </w:tc>
      </w:tr>
      <w:tr>
        <w:tc>
          <w:tcPr>
            <w:tcW w:type="dxa" w:w="2000"/>
            <w:tcBorders>
              <w:top w:val="single" w:color="CBD5E0" w:sz="4"/>
              <w:left w:val="single" w:color="CBD5E0" w:sz="4"/>
              <w:bottom w:val="single" w:color="CBD5E0" w:sz="4"/>
              <w:right w:val="single" w:color="CBD5E0" w:sz="4"/>
            </w:tcBorders>
            <w:shd w:fill="0A1628" w:val="clear"/>
            <w:tcMar>
              <w:top w:type="dxa" w:w="120"/>
              <w:left w:type="dxa" w:w="160"/>
              <w:bottom w:type="dxa" w:w="120"/>
              <w:right w:type="dxa" w:w="160"/>
            </w:tcMar>
            <w:vAlign w:val="top"/>
          </w:tcPr>
          <w:p>
            <w:pPr>
              <w:spacing w:after="40"/>
            </w:pPr>
            <w:r>
              <w:rPr>
                <w:rFonts w:ascii="Arial" w:cs="Arial" w:eastAsia="Arial" w:hAnsi="Arial"/>
                <w:b/>
                <w:bCs/>
                <w:color w:val="C9A84C"/>
                <w:sz w:val="22"/>
                <w:szCs w:val="22"/>
              </w:rPr>
              <w:t xml:space="preserve">Phase 3</w:t>
            </w:r>
          </w:p>
          <w:p>
            <w:pPr>
              <w:spacing w:after="40"/>
            </w:pPr>
            <w:r>
              <w:rPr>
                <w:rFonts w:ascii="Arial" w:cs="Arial" w:eastAsia="Arial" w:hAnsi="Arial"/>
                <w:b w:val="false"/>
                <w:bCs w:val="false"/>
                <w:color w:val="B0C4DE"/>
                <w:sz w:val="17"/>
                <w:szCs w:val="17"/>
              </w:rPr>
              <w:t xml:space="preserve">Weeks 5–6</w:t>
            </w:r>
          </w:p>
          <w:p>
            <w:pPr>
              <w:spacing w:after="40"/>
            </w:pPr>
            <w:r>
              <w:rPr>
                <w:rFonts w:ascii="Arial" w:cs="Arial" w:eastAsia="Arial" w:hAnsi="Arial"/>
                <w:b w:val="false"/>
                <w:bCs w:val="false"/>
                <w:color w:val="B0C4DE"/>
                <w:sz w:val="17"/>
                <w:szCs w:val="17"/>
              </w:rPr>
              <w:t xml:space="preserve">Content &amp; Calculators</w:t>
            </w:r>
          </w:p>
        </w:tc>
        <w:tc>
          <w:tcPr>
            <w:tcW w:type="dxa" w:w="70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Contentlayer MDX blog setup with 10 initial articles. SSAS Loanback Calculator (F-12). Rental Yield Calculator (F-13). Case study library with 5 initial deal studies (F-10). Plausible Analytics and Microsoft Clarity installation. n8n workflow review: form to GHL, Instantly, Telegram, and PDF generation.</w:t>
            </w:r>
          </w:p>
        </w:tc>
      </w:tr>
      <w:tr>
        <w:tc>
          <w:tcPr>
            <w:tcW w:type="dxa" w:w="2000"/>
            <w:tcBorders>
              <w:top w:val="single" w:color="CBD5E0" w:sz="4"/>
              <w:left w:val="single" w:color="CBD5E0" w:sz="4"/>
              <w:bottom w:val="single" w:color="CBD5E0" w:sz="4"/>
              <w:right w:val="single" w:color="CBD5E0" w:sz="4"/>
            </w:tcBorders>
            <w:shd w:fill="1A3A6B" w:val="clear"/>
            <w:tcMar>
              <w:top w:type="dxa" w:w="120"/>
              <w:left w:type="dxa" w:w="160"/>
              <w:bottom w:type="dxa" w:w="120"/>
              <w:right w:type="dxa" w:w="160"/>
            </w:tcMar>
            <w:vAlign w:val="top"/>
          </w:tcPr>
          <w:p>
            <w:pPr>
              <w:spacing w:after="40"/>
            </w:pPr>
            <w:r>
              <w:rPr>
                <w:rFonts w:ascii="Arial" w:cs="Arial" w:eastAsia="Arial" w:hAnsi="Arial"/>
                <w:b/>
                <w:bCs/>
                <w:color w:val="C9A84C"/>
                <w:sz w:val="22"/>
                <w:szCs w:val="22"/>
              </w:rPr>
              <w:t xml:space="preserve">Phase 4</w:t>
            </w:r>
          </w:p>
          <w:p>
            <w:pPr>
              <w:spacing w:after="40"/>
            </w:pPr>
            <w:r>
              <w:rPr>
                <w:rFonts w:ascii="Arial" w:cs="Arial" w:eastAsia="Arial" w:hAnsi="Arial"/>
                <w:b w:val="false"/>
                <w:bCs w:val="false"/>
                <w:color w:val="B0C4DE"/>
                <w:sz w:val="17"/>
                <w:szCs w:val="17"/>
              </w:rPr>
              <w:t xml:space="preserve">Weeks 7–10</w:t>
            </w:r>
          </w:p>
          <w:p>
            <w:pPr>
              <w:spacing w:after="40"/>
            </w:pPr>
            <w:r>
              <w:rPr>
                <w:rFonts w:ascii="Arial" w:cs="Arial" w:eastAsia="Arial" w:hAnsi="Arial"/>
                <w:b w:val="false"/>
                <w:bCs w:val="false"/>
                <w:color w:val="B0C4DE"/>
                <w:sz w:val="17"/>
                <w:szCs w:val="17"/>
              </w:rPr>
              <w:t xml:space="preserve">Scale &amp; Automation</w:t>
            </w:r>
          </w:p>
        </w:tc>
        <w:tc>
          <w:tcPr>
            <w:tcW w:type="dxa" w:w="70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City-specific programmatic pages for 10 UK cities (F-17). PDF Indicative Terms auto-generator (F-19). Stamp Duty Calculator (F-18). Pension Contribution Planner (F-20). Alltrust and Developers Community widgets (F-22, F-23). 40 additional blog articles. Performance audit targeting Core Web Vitals 90+ across all metrics. Instantly.ai sequence A/B testing.</w:t>
            </w:r>
          </w:p>
        </w:tc>
      </w:tr>
    </w:tbl>
    <w:p>
      <w:pPr>
        <w:spacing w:after="0" w:before="0"/>
      </w:pPr>
      <w:r>
        <w:t xml:space="preserve"/>
      </w:r>
    </w:p>
    <w:p>
      <w:r>
        <w:br w:type="page"/>
      </w:r>
    </w:p>
    <w:p>
      <w:pPr>
        <w:pStyle w:val="Heading1"/>
      </w:pPr>
      <w:r>
        <w:rPr>
          <w:rFonts w:ascii="Arial" w:cs="Arial" w:eastAsia="Arial" w:hAnsi="Arial"/>
          <w:color w:val="0A1628"/>
        </w:rPr>
        <w:t xml:space="preserve">13. Success Metrics &amp; KPIs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tblHeader/>
        </w:trPr>
        <w:tc>
          <w:tcPr>
            <w:tcW w:type="dxa" w:w="34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Metric</w:t>
            </w:r>
          </w:p>
        </w:tc>
        <w:tc>
          <w:tcPr>
            <w:tcW w:type="dxa" w:w="14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Baseline</w:t>
            </w:r>
          </w:p>
        </w:tc>
        <w:tc>
          <w:tcPr>
            <w:tcW w:type="dxa" w:w="14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Month 3</w:t>
            </w:r>
          </w:p>
        </w:tc>
        <w:tc>
          <w:tcPr>
            <w:tcW w:type="dxa" w:w="14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Month 6</w:t>
            </w:r>
          </w:p>
        </w:tc>
        <w:tc>
          <w:tcPr>
            <w:tcW w:type="dxa" w:w="14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Month 12</w:t>
            </w:r>
          </w:p>
        </w:tc>
      </w:tr>
      <w:tr>
        <w:tc>
          <w:tcPr>
            <w:tcW w:type="dxa" w:w="3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Organic monthly visits</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0</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500</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2,000</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bCs/>
                <w:color w:val="0A1628"/>
                <w:sz w:val="18"/>
                <w:szCs w:val="18"/>
              </w:rPr>
              <w:t xml:space="preserve">5,000+</w:t>
            </w:r>
          </w:p>
        </w:tc>
      </w:tr>
      <w:tr>
        <w:tc>
          <w:tcPr>
            <w:tcW w:type="dxa" w:w="34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Qualified enquiries / month</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0</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10</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50</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bCs/>
                <w:color w:val="0A1628"/>
                <w:sz w:val="18"/>
                <w:szCs w:val="18"/>
              </w:rPr>
              <w:t xml:space="preserve">120+</w:t>
            </w:r>
          </w:p>
        </w:tc>
      </w:tr>
      <w:tr>
        <w:tc>
          <w:tcPr>
            <w:tcW w:type="dxa" w:w="3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Calculator sessions / month</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0</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200</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800</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bCs/>
                <w:color w:val="0A1628"/>
                <w:sz w:val="18"/>
                <w:szCs w:val="18"/>
              </w:rPr>
              <w:t xml:space="preserve">2,500+</w:t>
            </w:r>
          </w:p>
        </w:tc>
      </w:tr>
      <w:tr>
        <w:tc>
          <w:tcPr>
            <w:tcW w:type="dxa" w:w="34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Lead to proposal conversion rate</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25%</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bCs/>
                <w:color w:val="0A1628"/>
                <w:sz w:val="18"/>
                <w:szCs w:val="18"/>
              </w:rPr>
              <w:t xml:space="preserve">35%</w:t>
            </w:r>
          </w:p>
        </w:tc>
      </w:tr>
      <w:tr>
        <w:tc>
          <w:tcPr>
            <w:tcW w:type="dxa" w:w="3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Top-10 SERP keyword count</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0</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5</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20</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bCs/>
                <w:color w:val="0A1628"/>
                <w:sz w:val="18"/>
                <w:szCs w:val="18"/>
              </w:rPr>
              <w:t xml:space="preserve">50+</w:t>
            </w:r>
          </w:p>
        </w:tc>
      </w:tr>
      <w:tr>
        <w:tc>
          <w:tcPr>
            <w:tcW w:type="dxa" w:w="34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Instantly.ai email open rate</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40%+</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bCs/>
                <w:color w:val="0A1628"/>
                <w:sz w:val="18"/>
                <w:szCs w:val="18"/>
              </w:rPr>
              <w:t xml:space="preserve">45%+</w:t>
            </w:r>
          </w:p>
        </w:tc>
      </w:tr>
      <w:tr>
        <w:tc>
          <w:tcPr>
            <w:tcW w:type="dxa" w:w="3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Lighthouse mobile score (avg)</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85+</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90+</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bCs/>
                <w:color w:val="0A1628"/>
                <w:sz w:val="18"/>
                <w:szCs w:val="18"/>
              </w:rPr>
              <w:t xml:space="preserve">92+</w:t>
            </w:r>
          </w:p>
        </w:tc>
      </w:tr>
      <w:tr>
        <w:tc>
          <w:tcPr>
            <w:tcW w:type="dxa" w:w="3426"/>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GSC impressions / month</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0</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5,000</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30,000</w:t>
            </w:r>
          </w:p>
        </w:tc>
        <w:tc>
          <w:tcPr>
            <w:tcW w:type="dxa" w:w="1400"/>
            <w:tcBorders>
              <w:top w:val="single" w:color="CBD5E0" w:sz="4"/>
              <w:left w:val="single" w:color="CBD5E0" w:sz="4"/>
              <w:bottom w:val="single" w:color="CBD5E0" w:sz="4"/>
              <w:right w:val="single" w:color="CBD5E0" w:sz="4"/>
            </w:tcBorders>
            <w:shd w:fill="F0F4FA" w:val="clear"/>
            <w:tcMar>
              <w:top w:type="dxa" w:w="80"/>
              <w:left w:type="dxa" w:w="120"/>
              <w:bottom w:type="dxa" w:w="80"/>
              <w:right w:type="dxa" w:w="120"/>
            </w:tcMar>
          </w:tcPr>
          <w:p>
            <w:pPr>
              <w:jc w:val="center"/>
            </w:pPr>
            <w:r>
              <w:rPr>
                <w:rFonts w:ascii="Arial" w:cs="Arial" w:eastAsia="Arial" w:hAnsi="Arial"/>
                <w:b/>
                <w:bCs/>
                <w:color w:val="0A1628"/>
                <w:sz w:val="18"/>
                <w:szCs w:val="18"/>
              </w:rPr>
              <w:t xml:space="preserve">100,000+</w:t>
            </w:r>
          </w:p>
        </w:tc>
      </w:tr>
      <w:tr>
        <w:tc>
          <w:tcPr>
            <w:tcW w:type="dxa" w:w="34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GHL pipeline value (est.)</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bCs/>
                <w:color w:val="1A3A6B"/>
                <w:sz w:val="18"/>
                <w:szCs w:val="18"/>
              </w:rPr>
              <w:t xml:space="preserve">£5m+</w:t>
            </w:r>
          </w:p>
        </w:tc>
        <w:tc>
          <w:tcPr>
            <w:tcW w:type="dxa" w:w="1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center"/>
            </w:pPr>
            <w:r>
              <w:rPr>
                <w:rFonts w:ascii="Arial" w:cs="Arial" w:eastAsia="Arial" w:hAnsi="Arial"/>
                <w:b/>
                <w:bCs/>
                <w:color w:val="0A1628"/>
                <w:sz w:val="18"/>
                <w:szCs w:val="18"/>
              </w:rPr>
              <w:t xml:space="preserve">£20m+</w:t>
            </w:r>
          </w:p>
        </w:tc>
      </w:tr>
    </w:tbl>
    <w:p>
      <w:pPr>
        <w:spacing w:after="0" w:before="0"/>
      </w:pPr>
      <w:r>
        <w:t xml:space="preserve"/>
      </w:r>
    </w:p>
    <w:p>
      <w:r>
        <w:br w:type="page"/>
      </w:r>
    </w:p>
    <w:p>
      <w:pPr>
        <w:pStyle w:val="Heading1"/>
      </w:pPr>
      <w:r>
        <w:rPr>
          <w:rFonts w:ascii="Arial" w:cs="Arial" w:eastAsia="Arial" w:hAnsi="Arial"/>
          <w:color w:val="0A1628"/>
        </w:rPr>
        <w:t xml:space="preserve">Appendix A — Revision History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Version / Date</w:t>
            </w:r>
          </w:p>
        </w:tc>
        <w:tc>
          <w:tcPr>
            <w:tcW w:type="dxa" w:w="6626"/>
            <w:tcBorders>
              <w:top w:val="single" w:color="CBD5E0" w:sz="4"/>
              <w:left w:val="single" w:color="CBD5E0" w:sz="4"/>
              <w:bottom w:val="single" w:color="CBD5E0" w:sz="4"/>
              <w:right w:val="single" w:color="CBD5E0" w:sz="4"/>
            </w:tcBorders>
            <w:shd w:fill="0A1628"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bCs/>
                <w:color w:val="0A1628"/>
                <w:sz w:val="18"/>
                <w:szCs w:val="18"/>
              </w:rPr>
              <w:t xml:space="preserve">v1.0  —  March 2026</w:t>
            </w:r>
          </w:p>
        </w:tc>
        <w:tc>
          <w:tcPr>
            <w:tcW w:type="dxa" w:w="6626"/>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jc w:val="left"/>
            </w:pPr>
            <w:r>
              <w:rPr>
                <w:rFonts w:ascii="Arial" w:cs="Arial" w:eastAsia="Arial" w:hAnsi="Arial"/>
                <w:b w:val="false"/>
                <w:bCs w:val="false"/>
                <w:color w:val="1A202C"/>
                <w:sz w:val="18"/>
                <w:szCs w:val="18"/>
              </w:rPr>
              <w:t xml:space="preserve">Initial PRD release. All sections complete. Awaiting stakeholder review prior to development kickoff.</w:t>
            </w:r>
          </w:p>
        </w:tc>
      </w:tr>
    </w:tbl>
    <w:p>
      <w:pPr>
        <w:spacing w:after="0" w:before="0"/>
      </w:pPr>
      <w:r>
        <w:t xml:space="preserve"/>
      </w:r>
    </w:p>
    <w:p>
      <w:pPr>
        <w:spacing w:after="0" w:before="0"/>
      </w:pPr>
      <w:r>
        <w:t xml:space="preserve"/>
      </w:r>
    </w:p>
    <w:p>
      <w:pPr>
        <w:pStyle w:val="Heading1"/>
      </w:pPr>
      <w:r>
        <w:rPr>
          <w:rFonts w:ascii="Arial" w:cs="Arial" w:eastAsia="Arial" w:hAnsi="Arial"/>
          <w:color w:val="0A1628"/>
        </w:rPr>
        <w:t xml:space="preserve">Appendix B — Related Documents</w:t>
      </w:r>
    </w:p>
    <w:p>
      <w:pPr>
        <w:pStyle w:val="ListParagraph"/>
        <w:numPr>
          <w:ilvl w:val="0"/>
          <w:numId w:val="2"/>
        </w:numPr>
        <w:spacing w:after="60"/>
      </w:pPr>
      <w:r>
        <w:rPr>
          <w:rFonts w:ascii="Arial" w:cs="Arial" w:eastAsia="Arial" w:hAnsi="Arial"/>
          <w:color w:val="4A5568"/>
          <w:sz w:val="20"/>
          <w:szCs w:val="20"/>
        </w:rPr>
        <w:t xml:space="preserve">Construction Capital OS PRD (Paperclip agent orchestration / PlanWire integration)</w:t>
      </w:r>
    </w:p>
    <w:p>
      <w:pPr>
        <w:pStyle w:val="ListParagraph"/>
        <w:numPr>
          <w:ilvl w:val="0"/>
          <w:numId w:val="2"/>
        </w:numPr>
        <w:spacing w:after="60"/>
      </w:pPr>
      <w:r>
        <w:rPr>
          <w:rFonts w:ascii="Arial" w:cs="Arial" w:eastAsia="Arial" w:hAnsi="Arial"/>
          <w:color w:val="4A5568"/>
          <w:sz w:val="20"/>
          <w:szCs w:val="20"/>
        </w:rPr>
        <w:t xml:space="preserve">Alltrust AI Pilot Programme Proposal — Board Presentation</w:t>
      </w:r>
    </w:p>
    <w:p>
      <w:pPr>
        <w:pStyle w:val="ListParagraph"/>
        <w:numPr>
          <w:ilvl w:val="0"/>
          <w:numId w:val="2"/>
        </w:numPr>
        <w:spacing w:after="60"/>
      </w:pPr>
      <w:r>
        <w:rPr>
          <w:rFonts w:ascii="Arial" w:cs="Arial" w:eastAsia="Arial" w:hAnsi="Arial"/>
          <w:color w:val="4A5568"/>
          <w:sz w:val="20"/>
          <w:szCs w:val="20"/>
        </w:rPr>
        <w:t xml:space="preserve">LenderEngine v5.0 PRD</w:t>
      </w:r>
    </w:p>
    <w:p>
      <w:pPr>
        <w:pStyle w:val="ListParagraph"/>
        <w:numPr>
          <w:ilvl w:val="0"/>
          <w:numId w:val="2"/>
        </w:numPr>
        <w:spacing w:after="60"/>
      </w:pPr>
      <w:r>
        <w:rPr>
          <w:rFonts w:ascii="Arial" w:cs="Arial" w:eastAsia="Arial" w:hAnsi="Arial"/>
          <w:color w:val="4A5568"/>
          <w:sz w:val="20"/>
          <w:szCs w:val="20"/>
        </w:rPr>
        <w:t xml:space="preserve">Instantly.ai Sequence Playbook — SIPP Property Finance</w:t>
      </w:r>
    </w:p>
    <w:p>
      <w:pPr>
        <w:pStyle w:val="ListParagraph"/>
        <w:numPr>
          <w:ilvl w:val="0"/>
          <w:numId w:val="2"/>
        </w:numPr>
        <w:spacing w:after="60"/>
      </w:pPr>
      <w:r>
        <w:rPr>
          <w:rFonts w:ascii="Arial" w:cs="Arial" w:eastAsia="Arial" w:hAnsi="Arial"/>
          <w:color w:val="4A5568"/>
          <w:sz w:val="20"/>
          <w:szCs w:val="20"/>
        </w:rPr>
        <w:t xml:space="preserve">GoHighLevel Pipeline Configuration — New SIPP Enquiry</w:t>
      </w:r>
    </w:p>
    <w:p>
      <w:pPr>
        <w:spacing w:after="0" w:before="0"/>
      </w:pPr>
      <w:r>
        <w:t xml:space="preserve"/>
      </w:r>
    </w:p>
    <w:p>
      <w:pPr>
        <w:spacing w:after="0" w:before="0"/>
      </w:pPr>
      <w:r>
        <w:t xml:space="preserve"/>
      </w:r>
    </w:p>
    <w:p>
      <w:pPr>
        <w:spacing w:before="400"/>
        <w:jc w:val="center"/>
      </w:pPr>
      <w:r>
        <w:rPr>
          <w:rFonts w:ascii="Arial" w:cs="Arial" w:eastAsia="Arial" w:hAnsi="Arial"/>
          <w:i/>
          <w:iCs/>
          <w:color w:val="C9A84C"/>
          <w:sz w:val="18"/>
          <w:szCs w:val="18"/>
        </w:rPr>
        <w:t xml:space="preserve">— End of Document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tabs>
        <w:tab w:val="right" w:pos="9026"/>
      </w:tabs>
      <w:spacing w:before="100"/>
    </w:pPr>
    <w:r>
      <w:rPr>
        <w:rFonts w:ascii="Arial" w:cs="Arial" w:eastAsia="Arial" w:hAnsi="Arial"/>
        <w:color w:val="4A5568"/>
        <w:sz w:val="16"/>
        <w:szCs w:val="16"/>
      </w:rPr>
      <w:t xml:space="preserve">Construction Capital (Lenzie Consulting Ltd)  |  Confidential</w:t>
    </w:r>
    <w:r>
      <w:rPr>
        <w:rFonts w:ascii="Arial" w:cs="Arial" w:eastAsia="Arial" w:hAnsi="Arial"/>
        <w:color w:val="4A556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9026"/>
      </w:tabs>
      <w:spacing w:after="100"/>
    </w:pPr>
    <w:r>
      <w:rPr>
        <w:rFonts w:ascii="Arial" w:cs="Arial" w:eastAsia="Arial" w:hAnsi="Arial"/>
        <w:color w:val="1A3A6B"/>
        <w:sz w:val="16"/>
        <w:szCs w:val="16"/>
      </w:rPr>
      <w:t xml:space="preserve">sipppropertyfinance.co.uk  |  Product Requirements Document</w:t>
    </w:r>
    <w:r>
      <w:rPr>
        <w:rFonts w:ascii="Arial" w:cs="Arial" w:eastAsia="Arial" w:hAnsi="Arial"/>
        <w:color w:val="4A5568"/>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8" w:space="4"/>
      </w:pBdr>
      <w:spacing w:after="120" w:before="360"/>
      <w:outlineLvl w:val="0"/>
    </w:pPr>
    <w:rPr>
      <w:rFonts w:ascii="Arial" w:cs="Arial" w:eastAsia="Arial" w:hAnsi="Arial"/>
      <w:b/>
      <w:bCs/>
      <w:color w:val="0A1628"/>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2026-03-19T16:57:47.205Z</dcterms:created>
  <dcterms:modified xsi:type="dcterms:W3CDTF">2026-03-19T16:57:47.206Z</dcterms:modified>
</cp:coreProperties>
</file>

<file path=docProps/custom.xml><?xml version="1.0" encoding="utf-8"?>
<Properties xmlns="http://schemas.openxmlformats.org/officeDocument/2006/custom-properties" xmlns:vt="http://schemas.openxmlformats.org/officeDocument/2006/docPropsVTypes"/>
</file>