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Design Document</w:t>
      </w:r>
    </w:p>
    <w:p>
      <w:pPr>
        <w:spacing w:after="400"/>
        <w:jc w:val="center"/>
      </w:pPr>
      <w:r>
        <w:rPr>
          <w:rFonts w:ascii="Arial" w:cs="Arial" w:eastAsia="Arial" w:hAnsi="Arial"/>
          <w:b/>
          <w:bCs/>
          <w:color w:val="2B5C8A"/>
          <w:sz w:val="44"/>
          <w:szCs w:val="44"/>
        </w:rPr>
        <w:t xml:space="preserve">Natural ETa Estimation via Raster Fill:</w:t>
      </w:r>
    </w:p>
    <w:p>
      <w:pPr>
        <w:spacing w:after="600"/>
        <w:jc w:val="center"/>
      </w:pPr>
      <w:r>
        <w:rPr>
          <w:rFonts w:ascii="Arial" w:cs="Arial" w:eastAsia="Arial" w:hAnsi="Arial"/>
          <w:color w:val="2B5C8A"/>
          <w:sz w:val="32"/>
          <w:szCs w:val="32"/>
        </w:rPr>
        <w:t xml:space="preserve">A Data-Driven Approach to Quantifying ET from Applied Water</w:t>
      </w:r>
    </w:p>
    <w:p>
      <w:pPr>
        <w:spacing w:after="200"/>
        <w:jc w:val="center"/>
      </w:pPr>
      <w:r>
        <w:rPr>
          <w:rFonts w:ascii="Arial" w:cs="Arial" w:eastAsia="Arial" w:hAnsi="Arial"/>
          <w:color w:val="444444"/>
          <w:sz w:val="24"/>
          <w:szCs w:val="24"/>
        </w:rPr>
        <w:t xml:space="preserve">Desert Research Institute</w:t>
      </w:r>
    </w:p>
    <w:p>
      <w:pPr>
        <w:spacing w:after="200"/>
        <w:jc w:val="center"/>
      </w:pPr>
      <w:r>
        <w:rPr>
          <w:rFonts w:ascii="Arial" w:cs="Arial" w:eastAsia="Arial" w:hAnsi="Arial"/>
          <w:color w:val="444444"/>
          <w:sz w:val="24"/>
          <w:szCs w:val="24"/>
        </w:rPr>
        <w:t xml:space="preserve">April 2026</w:t>
      </w:r>
    </w:p>
    <w:p>
      <w:pPr>
        <w:spacing w:after="100"/>
        <w:jc w:val="center"/>
      </w:pPr>
      <w:r>
        <w:rPr>
          <w:rFonts w:ascii="Arial" w:cs="Arial" w:eastAsia="Arial" w:hAnsi="Arial"/>
          <w:i/>
          <w:iCs/>
          <w:color w:val="999999"/>
          <w:sz w:val="22"/>
          <w:szCs w:val="22"/>
        </w:rPr>
        <w:t xml:space="preserve">DRAFT — For Internal Discussion</w:t>
      </w:r>
    </w:p>
    <w:p>
      <w:r>
        <w:br w:type="page"/>
      </w:r>
    </w:p>
    <w:p>
      <w:pPr>
        <w:pStyle w:val="Heading1"/>
        <w:spacing w:after="200" w:before="300"/>
      </w:pPr>
      <w:r>
        <w:t xml:space="preserve">1. Introduction and Problem Statement</w:t>
      </w:r>
    </w:p>
    <w:p>
      <w:pPr>
        <w:spacing w:after="200"/>
      </w:pPr>
      <w:r>
        <w:t xml:space="preserve">Quantifying the consumptive use of applied irrigation water is a fundamental requirement for water resource management in the western United States. Applications include evaluating water rights transfers, pricing buy-back programs for groundwater right retirement, and assessing net water savings from agricultural fallowing. Despite its importance, existing methods for estimating ET from applied water face significant limitations in scalability, cost, and reproducibility.</w:t>
      </w:r>
    </w:p>
    <w:p>
      <w:pPr>
        <w:spacing w:after="200"/>
      </w:pPr>
      <w:r>
        <w:t xml:space="preserve">Current approaches generally fall into two categories. The first is process-based daily water balance modeling, such as the ET Demands framework, which tracks soil moisture, crop coefficients, and irrigation scheduling to partition total ET into precipitation-driven and irrigation-driven components. While rigorous, these models require detailed parameterization of crop type, irrigation method, and soil properties at each site, making them computationally expensive and labor-intensive to apply across large areas. The second approach involves manual proxy-area selection, where an analyst identifies a non-irrigated site with similar elevation, soil, and climate characteristics to an irrigated location, then differences the observed ET between the two sites. This method is conceptually simple but subjective, difficult to reproduce, and impractical for systematic application across a basin.</w:t>
      </w:r>
    </w:p>
    <w:p>
      <w:pPr>
        <w:spacing w:after="200"/>
      </w:pPr>
      <w:r>
        <w:t xml:space="preserve">This document describes a third approach: using machine learning to predict the natural (non-irrigated) ET at every irrigated location based on its physical site characteristics, then differencing the predicted natural ET from observed total ET to isolate the irrigation signal. This method leverages the same raster fill framework developed for groundwater ET baseline estimation, adapted for total ET (ETa) from the OpenET platform. The approach is designed to be scalable, reproducible, and internally quality-flagged, with a primary application in supporting water buy-back and trading programs in the intermountain western United States.</w:t>
      </w:r>
    </w:p>
    <w:p>
      <w:pPr>
        <w:pStyle w:val="Heading1"/>
        <w:spacing w:after="200" w:before="300"/>
      </w:pPr>
      <w:r>
        <w:t xml:space="preserve">2. Conceptual Framework</w:t>
      </w:r>
    </w:p>
    <w:p>
      <w:pPr>
        <w:spacing w:after="200"/>
      </w:pPr>
      <w:r>
        <w:t xml:space="preserve">The fundamental premise is that at any irrigated location, the physical site characteristics (elevation, slope, aspect, depth to water table, soil properties, climate, and native vegetation potential) determine what the ET rate would be in the absence of irrigation. A machine learning model trained on non-irrigated pixels across the landscape learns the functional relationship between these covariates and observed natural ETa. When applied to irrigated pixels, the model predicts what those locations would produce under natural conditions.</w:t>
      </w:r>
    </w:p>
    <w:p>
      <w:pPr>
        <w:spacing w:after="200"/>
      </w:pPr>
      <w:r>
        <w:t xml:space="preserve">The ET enhancement due to irrigation is then computed as a simple residual:</w:t>
      </w:r>
    </w:p>
    <w:p>
      <w:pPr>
        <w:spacing w:after="200" w:before="200"/>
        <w:jc w:val="center"/>
      </w:pPr>
      <w:r>
        <w:rPr>
          <w:rFonts w:ascii="Arial" w:cs="Arial" w:eastAsia="Arial" w:hAnsi="Arial"/>
          <w:i/>
          <w:iCs/>
          <w:sz w:val="24"/>
          <w:szCs w:val="24"/>
        </w:rPr>
        <w:t xml:space="preserve">ET</w:t>
      </w:r>
      <w:r>
        <w:rPr>
          <w:rFonts w:ascii="Arial" w:cs="Arial" w:eastAsia="Arial" w:hAnsi="Arial"/>
          <w:i/>
          <w:iCs/>
          <w:sz w:val="16"/>
          <w:szCs w:val="16"/>
          <w:vertAlign w:val="superscript"/>
        </w:rPr>
        <w:t xml:space="preserve">irrigation</w:t>
      </w:r>
      <w:r>
        <w:rPr>
          <w:rFonts w:ascii="Arial" w:cs="Arial" w:eastAsia="Arial" w:hAnsi="Arial"/>
          <w:sz w:val="24"/>
          <w:szCs w:val="24"/>
        </w:rPr>
        <w:t xml:space="preserve">  =  ET</w:t>
      </w:r>
      <w:r>
        <w:rPr>
          <w:rFonts w:ascii="Arial" w:cs="Arial" w:eastAsia="Arial" w:hAnsi="Arial"/>
          <w:i/>
          <w:iCs/>
          <w:sz w:val="16"/>
          <w:szCs w:val="16"/>
          <w:vertAlign w:val="superscript"/>
        </w:rPr>
        <w:t xml:space="preserve">a,observed</w:t>
      </w:r>
      <w:r>
        <w:rPr>
          <w:rFonts w:ascii="Arial" w:cs="Arial" w:eastAsia="Arial" w:hAnsi="Arial"/>
          <w:sz w:val="24"/>
          <w:szCs w:val="24"/>
        </w:rPr>
        <w:t xml:space="preserve">  −  ET</w:t>
      </w:r>
      <w:r>
        <w:rPr>
          <w:rFonts w:ascii="Arial" w:cs="Arial" w:eastAsia="Arial" w:hAnsi="Arial"/>
          <w:i/>
          <w:iCs/>
          <w:sz w:val="16"/>
          <w:szCs w:val="16"/>
          <w:vertAlign w:val="superscript"/>
        </w:rPr>
        <w:t xml:space="preserve">a,predicted natural</w:t>
      </w:r>
    </w:p>
    <w:p>
      <w:pPr>
        <w:spacing w:after="200"/>
      </w:pPr>
      <w:r>
        <w:t xml:space="preserve">This residual represents the total annual ET enhancement attributable to irrigation, which includes both the direct consumption of applied water and any additional precipitation that the irrigated crop is able to utilize beyond what natural vegetation would transpire. For water buy-back applications, this residual estimates the recoverable water, defined as the reduction in consumptive use that would result from retiring irrigation at a given parcel.</w:t>
      </w:r>
    </w:p>
    <w:p>
      <w:pPr>
        <w:spacing w:after="200"/>
      </w:pPr>
      <w:r>
        <w:t xml:space="preserve">An important distinction: this residual is not identical to </w:t>
      </w:r>
      <w:r>
        <w:rPr>
          <w:i/>
          <w:iCs/>
        </w:rPr>
        <w:t xml:space="preserve">ET from applied water</w:t>
      </w:r>
      <w:r>
        <w:t xml:space="preserve"> in the strict water balance sense (ETa minus effective precipitation). Rather, it captures the net ET difference between irrigated and natural conditions. In areas with shallow groundwater, natural vegetation may sustain substantial ET from groundwater uptake, meaning the recoverable water from fallowing is less than the gross crop consumptive use. This is precisely the quantity of interest for buy-back program valuation.</w:t>
      </w:r>
    </w:p>
    <w:p>
      <w:pPr>
        <w:pStyle w:val="Heading1"/>
        <w:spacing w:after="200" w:before="300"/>
      </w:pPr>
      <w:r>
        <w:t xml:space="preserve">3. Geographic Scope and Applicability</w:t>
      </w:r>
    </w:p>
    <w:p>
      <w:pPr>
        <w:spacing w:after="200"/>
      </w:pPr>
      <w:r>
        <w:t xml:space="preserve">This approach is best suited to landscapes where irrigated agriculture is interspersed with extensive natural land cover, providing abundant training data in close spatial proximity to prediction targets. The intermountain west is an ideal setting: irrigated meadows, pivot circles, and flood-irrigated pastures occupy valley floors surrounded by sagebrush steppe, grasslands, and other native vegetation communities at similar elevations and on similar soils.</w:t>
      </w:r>
    </w:p>
    <w:p>
      <w:pPr>
        <w:spacing w:after="200"/>
      </w:pPr>
      <w:r>
        <w:t xml:space="preserve">The approach is less practical in regions dominated by wall-to-wall cultivation (e.g., the California Central Valley, the western Great Plains), where few natural training pixels exist within climatically and edaphically similar neighborhoods. In such areas, the model would rely heavily on extrapolation, reducing prediction confidence. However, these regions are also where established methods (ET Demands, detailed crop coefficient approaches) already function well due to uniform cropping, well-documented irrigation infrastructure, and institutional capacity to support process-based modeling.</w:t>
      </w:r>
    </w:p>
    <w:p>
      <w:pPr>
        <w:spacing w:after="200"/>
      </w:pPr>
      <w:r>
        <w:t xml:space="preserve">The raster fill approach therefore fills a specific methodological gap: providing scalable, reproducible ET-from-applied-water estimates in heterogeneous landscapes where process-based methods are difficult to parameterize and manual proxy selection is impractical at scale.</w:t>
      </w:r>
    </w:p>
    <w:p>
      <w:pPr>
        <w:pStyle w:val="Heading1"/>
        <w:spacing w:after="200" w:before="300"/>
      </w:pPr>
      <w:r>
        <w:t xml:space="preserve">4. Comparison with Existing Methods</w:t>
      </w:r>
    </w:p>
    <w:p>
      <w:pPr>
        <w:spacing w:after="200"/>
      </w:pPr>
      <w:r>
        <w:t xml:space="preserve">The following table compares the raster fill approach against the two primary existing methods for estimating ET from applied water.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AAAAAA" w:sz="1"/>
              <w:left w:val="single" w:color="AAAAAA" w:sz="1"/>
              <w:bottom w:val="single" w:color="AAAAAA" w:sz="1"/>
              <w:right w:val="single" w:color="AAAAAA" w:sz="1"/>
            </w:tcBorders>
            <w:shd w:fill="2B5C8A"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Criterion</w:t>
            </w:r>
          </w:p>
        </w:tc>
        <w:tc>
          <w:tcPr>
            <w:tcW w:type="dxa" w:w="2453"/>
            <w:tcBorders>
              <w:top w:val="single" w:color="AAAAAA" w:sz="1"/>
              <w:left w:val="single" w:color="AAAAAA" w:sz="1"/>
              <w:bottom w:val="single" w:color="AAAAAA" w:sz="1"/>
              <w:right w:val="single" w:color="AAAAAA" w:sz="1"/>
            </w:tcBorders>
            <w:shd w:fill="2B5C8A" w:val="clear"/>
            <w:tcMar>
              <w:top w:type="dxa" w:w="60"/>
              <w:left w:type="dxa" w:w="100"/>
              <w:bottom w:type="dxa" w:w="60"/>
              <w:right w:type="dxa" w:w="100"/>
            </w:tcMar>
            <w:vAlign w:val="center"/>
          </w:tcPr>
          <w:p>
            <w:r>
              <w:rPr>
                <w:rFonts w:ascii="Arial" w:cs="Arial" w:eastAsia="Arial" w:hAnsi="Arial"/>
                <w:b/>
                <w:bCs/>
                <w:color w:val="FFFFFF"/>
                <w:sz w:val="20"/>
                <w:szCs w:val="20"/>
              </w:rPr>
              <w:t xml:space="preserve">ET Demands / Water Balance</w:t>
            </w:r>
          </w:p>
        </w:tc>
        <w:tc>
          <w:tcPr>
            <w:tcW w:type="dxa" w:w="2453"/>
            <w:tcBorders>
              <w:top w:val="single" w:color="AAAAAA" w:sz="1"/>
              <w:left w:val="single" w:color="AAAAAA" w:sz="1"/>
              <w:bottom w:val="single" w:color="AAAAAA" w:sz="1"/>
              <w:right w:val="single" w:color="AAAAAA" w:sz="1"/>
            </w:tcBorders>
            <w:shd w:fill="2B5C8A" w:val="clear"/>
            <w:tcMar>
              <w:top w:type="dxa" w:w="60"/>
              <w:left w:type="dxa" w:w="100"/>
              <w:bottom w:type="dxa" w:w="60"/>
              <w:right w:type="dxa" w:w="100"/>
            </w:tcMar>
            <w:vAlign w:val="center"/>
          </w:tcPr>
          <w:p>
            <w:r>
              <w:rPr>
                <w:rFonts w:ascii="Arial" w:cs="Arial" w:eastAsia="Arial" w:hAnsi="Arial"/>
                <w:b/>
                <w:bCs/>
                <w:color w:val="FFFFFF"/>
                <w:sz w:val="20"/>
                <w:szCs w:val="20"/>
              </w:rPr>
              <w:t xml:space="preserve">Manual Proxy Selection</w:t>
            </w:r>
          </w:p>
        </w:tc>
        <w:tc>
          <w:tcPr>
            <w:tcW w:type="dxa" w:w="2454"/>
            <w:tcBorders>
              <w:top w:val="single" w:color="AAAAAA" w:sz="1"/>
              <w:left w:val="single" w:color="AAAAAA" w:sz="1"/>
              <w:bottom w:val="single" w:color="AAAAAA" w:sz="1"/>
              <w:right w:val="single" w:color="AAAAAA" w:sz="1"/>
            </w:tcBorders>
            <w:shd w:fill="2B5C8A" w:val="clear"/>
            <w:tcMar>
              <w:top w:type="dxa" w:w="60"/>
              <w:left w:type="dxa" w:w="100"/>
              <w:bottom w:type="dxa" w:w="60"/>
              <w:right w:type="dxa" w:w="100"/>
            </w:tcMar>
            <w:vAlign w:val="center"/>
          </w:tcPr>
          <w:p>
            <w:r>
              <w:rPr>
                <w:rFonts w:ascii="Arial" w:cs="Arial" w:eastAsia="Arial" w:hAnsi="Arial"/>
                <w:b/>
                <w:bCs/>
                <w:color w:val="FFFFFF"/>
                <w:sz w:val="20"/>
                <w:szCs w:val="20"/>
              </w:rPr>
              <w:t xml:space="preserve">Raster Fill (Proposed)</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bCs/>
                <w:sz w:val="18"/>
                <w:szCs w:val="18"/>
              </w:rPr>
              <w:t xml:space="preserve">Scalability</w:t>
            </w:r>
          </w:p>
        </w:tc>
        <w:tc>
          <w:tcPr>
            <w:tcW w:type="dxa" w:w="245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Low. Requires site-by-site parameterization of crop type, irrigation method, soil, and scheduling.</w:t>
            </w:r>
          </w:p>
        </w:tc>
        <w:tc>
          <w:tcPr>
            <w:tcW w:type="dxa" w:w="245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Very low. Each comparison requires manual analyst effort to identify an appropriate proxy site.</w:t>
            </w:r>
          </w:p>
        </w:tc>
        <w:tc>
          <w:tcPr>
            <w:tcW w:type="dxa" w:w="2454"/>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High. Once trained, the model predicts natural ETa at every irrigated pixel across the study area.</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bCs/>
                <w:sz w:val="18"/>
                <w:szCs w:val="18"/>
              </w:rPr>
              <w:t xml:space="preserve">Reproducibility</w:t>
            </w:r>
          </w:p>
        </w:tc>
        <w:tc>
          <w:tcPr>
            <w:tcW w:type="dxa" w:w="2453"/>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High within a given setup, but parameterization choices vary between analysts and studies.</w:t>
            </w:r>
          </w:p>
        </w:tc>
        <w:tc>
          <w:tcPr>
            <w:tcW w:type="dxa" w:w="2453"/>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Low. Proxy site selection is subjective and difficult to replicate across analysts.</w:t>
            </w:r>
          </w:p>
        </w:tc>
        <w:tc>
          <w:tcPr>
            <w:tcW w:type="dxa" w:w="2454"/>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High. Deterministic given the same input data and model configuration.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bCs/>
                <w:sz w:val="18"/>
                <w:szCs w:val="18"/>
              </w:rPr>
              <w:t xml:space="preserve">Labor cost</w:t>
            </w:r>
          </w:p>
        </w:tc>
        <w:tc>
          <w:tcPr>
            <w:tcW w:type="dxa" w:w="245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High. Requires substantial setup time for crop parameterization, irrigation scheduling, and soil data.</w:t>
            </w:r>
          </w:p>
        </w:tc>
        <w:tc>
          <w:tcPr>
            <w:tcW w:type="dxa" w:w="245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Moderate to high per site. Analyst must research each comparison manually.</w:t>
            </w:r>
          </w:p>
        </w:tc>
        <w:tc>
          <w:tcPr>
            <w:tcW w:type="dxa" w:w="2454"/>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Low to moderate. Primary effort is in assembling covariate layers; model training and prediction are automated.</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bCs/>
                <w:sz w:val="18"/>
                <w:szCs w:val="18"/>
              </w:rPr>
              <w:t xml:space="preserve">Computational cost</w:t>
            </w:r>
          </w:p>
        </w:tc>
        <w:tc>
          <w:tcPr>
            <w:tcW w:type="dxa" w:w="2453"/>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High. Daily timestep water balance across the growing season at each site.</w:t>
            </w:r>
          </w:p>
        </w:tc>
        <w:tc>
          <w:tcPr>
            <w:tcW w:type="dxa" w:w="2453"/>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Minimal computation, but high analyst time.</w:t>
            </w:r>
          </w:p>
        </w:tc>
        <w:tc>
          <w:tcPr>
            <w:tcW w:type="dxa" w:w="2454"/>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Moderate. One-time model training per basin-year; prediction is fast.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bCs/>
                <w:sz w:val="18"/>
                <w:szCs w:val="18"/>
              </w:rPr>
              <w:t xml:space="preserve">Temporal resolution</w:t>
            </w:r>
          </w:p>
        </w:tc>
        <w:tc>
          <w:tcPr>
            <w:tcW w:type="dxa" w:w="245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Daily. Provides detailed seasonal water use partitioning.</w:t>
            </w:r>
          </w:p>
        </w:tc>
        <w:tc>
          <w:tcPr>
            <w:tcW w:type="dxa" w:w="245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Typically annual or seasonal, depending on available ET data.</w:t>
            </w:r>
          </w:p>
        </w:tc>
        <w:tc>
          <w:tcPr>
            <w:tcW w:type="dxa" w:w="2454"/>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Annual or water-year as proposed; monthly decomposition possible as an extension.</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bCs/>
                <w:sz w:val="18"/>
                <w:szCs w:val="18"/>
              </w:rPr>
              <w:t xml:space="preserve">Captures post-fallowing ET</w:t>
            </w:r>
          </w:p>
        </w:tc>
        <w:tc>
          <w:tcPr>
            <w:tcW w:type="dxa" w:w="2453"/>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No. Estimates current crop water use but does not predict natural reversion ET.</w:t>
            </w:r>
          </w:p>
        </w:tc>
        <w:tc>
          <w:tcPr>
            <w:tcW w:type="dxa" w:w="2453"/>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Partially. The proxy site approximates post-fallowing conditions, but selection is subjective.</w:t>
            </w:r>
          </w:p>
        </w:tc>
        <w:tc>
          <w:tcPr>
            <w:tcW w:type="dxa" w:w="2454"/>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Yes. Directly predicts natural ETa at each irrigated location based on site characteristics.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bCs/>
                <w:sz w:val="18"/>
                <w:szCs w:val="18"/>
              </w:rPr>
              <w:t xml:space="preserve">Shallow GW sensitivity</w:t>
            </w:r>
          </w:p>
        </w:tc>
        <w:tc>
          <w:tcPr>
            <w:tcW w:type="dxa" w:w="245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Requires explicit groundwater module, not always included.</w:t>
            </w:r>
          </w:p>
        </w:tc>
        <w:tc>
          <w:tcPr>
            <w:tcW w:type="dxa" w:w="2453"/>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Depends on whether the chosen proxy site has similar groundwater conditions.</w:t>
            </w:r>
          </w:p>
        </w:tc>
        <w:tc>
          <w:tcPr>
            <w:tcW w:type="dxa" w:w="2454"/>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Captured implicitly through depth-to-water and HAND covariates in the feature space.</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bCs/>
                <w:sz w:val="18"/>
                <w:szCs w:val="18"/>
              </w:rPr>
              <w:t xml:space="preserve">Internal quality flags</w:t>
            </w:r>
          </w:p>
        </w:tc>
        <w:tc>
          <w:tcPr>
            <w:tcW w:type="dxa" w:w="2453"/>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Depends on implementation. Uncertainty typically not spatially explicit.</w:t>
            </w:r>
          </w:p>
        </w:tc>
        <w:tc>
          <w:tcPr>
            <w:tcW w:type="dxa" w:w="2453"/>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None. Confidence depends entirely on analyst judgment.</w:t>
            </w:r>
          </w:p>
        </w:tc>
        <w:tc>
          <w:tcPr>
            <w:tcW w:type="dxa" w:w="2454"/>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Built-in: prediction intervals, covariate extrapolation flags, training density, residual sign checks.</w:t>
            </w:r>
          </w:p>
        </w:tc>
      </w:tr>
    </w:tbl>
    <w:p>
      <w:pPr>
        <w:spacing w:after="200"/>
      </w:pPr>
      <w:r>
        <w:t xml:space="preserve"/>
      </w:r>
    </w:p>
    <w:p>
      <w:pPr>
        <w:pStyle w:val="Heading1"/>
        <w:spacing w:after="200" w:before="300"/>
      </w:pPr>
      <w:r>
        <w:t xml:space="preserve">5. Data Inputs</w:t>
      </w:r>
    </w:p>
    <w:p>
      <w:pPr>
        <w:pStyle w:val="Heading2"/>
        <w:spacing w:after="200" w:before="300"/>
      </w:pPr>
      <w:r>
        <w:t xml:space="preserve">5.1 Response Variable: OpenET Ensemble ETa</w:t>
      </w:r>
    </w:p>
    <w:p>
      <w:pPr>
        <w:spacing w:after="200"/>
      </w:pPr>
      <w:r>
        <w:t xml:space="preserve">The response variable is total actual evapotranspiration (ETa) from the OpenET ensemble product, available at 30 m resolution across the western United States. The ensemble combines estimates from multiple remote sensing models (ALEXI/DisALEXI, eeMETRIC, geeSEBAL, PT-JPL, SIMS, SSEBop) into a single best estimate, providing more robust spatial coverage than any individual model. Annual or water-year composites will be used as the primary temporal unit.</w:t>
      </w:r>
    </w:p>
    <w:p>
      <w:pPr>
        <w:pStyle w:val="Heading2"/>
        <w:spacing w:after="200" w:before="300"/>
      </w:pPr>
      <w:r>
        <w:t xml:space="preserve">5.2 Irrigation Identification</w:t>
      </w:r>
    </w:p>
    <w:p>
      <w:pPr>
        <w:spacing w:after="200"/>
      </w:pPr>
      <w:r>
        <w:t xml:space="preserve">Accurate separation of irrigated and non-irrigated pixels is critical for both training data selection and prediction targeting. Three complementary datasets will be used:</w:t>
      </w:r>
    </w:p>
    <w:p>
      <w:pPr>
        <w:pStyle w:val="ListParagraph"/>
        <w:numPr>
          <w:ilvl w:val="0"/>
          <w:numId w:val="2"/>
        </w:numPr>
        <w:spacing w:after="100"/>
      </w:pPr>
      <w:r>
        <w:rPr>
          <w:b/>
          <w:bCs/>
        </w:rPr>
        <w:t xml:space="preserve">OpenET Agricultural Field Boundaries: </w:t>
      </w:r>
      <w:r>
        <w:t xml:space="preserve">Provides the spatial footprint of fields with irrigation infrastructure. Identifies where irrigation is possible but does not indicate annual activation.</w:t>
      </w:r>
    </w:p>
    <w:p>
      <w:pPr>
        <w:pStyle w:val="ListParagraph"/>
        <w:numPr>
          <w:ilvl w:val="0"/>
          <w:numId w:val="2"/>
        </w:numPr>
        <w:spacing w:after="100"/>
      </w:pPr>
      <w:r>
        <w:rPr>
          <w:b/>
          <w:bCs/>
        </w:rPr>
        <w:t xml:space="preserve">LANID (Landsat-based National Irrigation Dataset): </w:t>
      </w:r>
      <w:r>
        <w:t xml:space="preserve">Annual irrigated area classification at 30 m resolution derived from Landsat imagery. Captures year-to-year variability in which fields are actively irrigated.</w:t>
      </w:r>
    </w:p>
    <w:p>
      <w:pPr>
        <w:pStyle w:val="ListParagraph"/>
        <w:numPr>
          <w:ilvl w:val="0"/>
          <w:numId w:val="2"/>
        </w:numPr>
        <w:spacing w:after="100"/>
      </w:pPr>
      <w:r>
        <w:rPr>
          <w:b/>
          <w:bCs/>
        </w:rPr>
        <w:t xml:space="preserve">IrrMapper: </w:t>
      </w:r>
      <w:r>
        <w:t xml:space="preserve">Independent annual irrigation classification also derived from Landsat. Provides a second source for annual irrigation status, enabling consensus-based masking.</w:t>
      </w:r>
    </w:p>
    <w:p>
      <w:pPr>
        <w:spacing w:after="200"/>
      </w:pPr>
      <w:r>
        <w:t xml:space="preserve">These sources will be used in combination. Pixels inside an OpenET field boundary that are flagged as irrigated by both LANID and IrrMapper in a given year receive the highest irrigation confidence. Disagreement between sources generates a classification confidence flag. For training data, only pixels outside all field boundaries, not flagged by either annual dataset, and buffered from irrigated parcels (to avoid advection effects) will be used.</w:t>
      </w:r>
    </w:p>
    <w:p>
      <w:pPr>
        <w:spacing w:after="200"/>
      </w:pPr>
      <w:r>
        <w:t xml:space="preserve">Supplementary datasets such as USDA NASS Cropland Data Layer (CDL) and NLCD will provide additional context for crop type identification and general land cover classification.</w:t>
      </w:r>
    </w:p>
    <w:p>
      <w:pPr>
        <w:pStyle w:val="Heading2"/>
        <w:spacing w:after="200" w:before="300"/>
      </w:pPr>
      <w:r>
        <w:t xml:space="preserve">5.3 Covariate Stack</w:t>
      </w:r>
    </w:p>
    <w:p>
      <w:pPr>
        <w:spacing w:after="200"/>
      </w:pPr>
      <w:r>
        <w:t xml:space="preserve">The following covariates will be assembled at 30 m resolution (or resampled as needed) to characterize the physical site conditions that govern natural 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3360"/>
      </w:tblGrid>
      <w:tr>
        <w:tc>
          <w:tcPr>
            <w:tcW w:type="dxa" w:w="1800"/>
            <w:tcBorders>
              <w:top w:val="single" w:color="AAAAAA" w:sz="1"/>
              <w:left w:val="single" w:color="AAAAAA" w:sz="1"/>
              <w:bottom w:val="single" w:color="AAAAAA" w:sz="1"/>
              <w:right w:val="single" w:color="AAAAAA" w:sz="1"/>
            </w:tcBorders>
            <w:shd w:fill="2B5C8A" w:val="clear"/>
            <w:tcMar>
              <w:top w:type="dxa" w:w="60"/>
              <w:left w:type="dxa" w:w="100"/>
              <w:bottom w:type="dxa" w:w="60"/>
              <w:right w:type="dxa" w:w="100"/>
            </w:tcMar>
            <w:vAlign w:val="center"/>
          </w:tcPr>
          <w:p>
            <w:r>
              <w:rPr>
                <w:rFonts w:ascii="Arial" w:cs="Arial" w:eastAsia="Arial" w:hAnsi="Arial"/>
                <w:b/>
                <w:bCs/>
                <w:color w:val="FFFFFF"/>
                <w:sz w:val="20"/>
                <w:szCs w:val="20"/>
              </w:rPr>
              <w:t xml:space="preserve">Covariate</w:t>
            </w:r>
          </w:p>
        </w:tc>
        <w:tc>
          <w:tcPr>
            <w:tcW w:type="dxa" w:w="2100"/>
            <w:tcBorders>
              <w:top w:val="single" w:color="AAAAAA" w:sz="1"/>
              <w:left w:val="single" w:color="AAAAAA" w:sz="1"/>
              <w:bottom w:val="single" w:color="AAAAAA" w:sz="1"/>
              <w:right w:val="single" w:color="AAAAAA" w:sz="1"/>
            </w:tcBorders>
            <w:shd w:fill="2B5C8A"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2100"/>
            <w:tcBorders>
              <w:top w:val="single" w:color="AAAAAA" w:sz="1"/>
              <w:left w:val="single" w:color="AAAAAA" w:sz="1"/>
              <w:bottom w:val="single" w:color="AAAAAA" w:sz="1"/>
              <w:right w:val="single" w:color="AAAAAA" w:sz="1"/>
            </w:tcBorders>
            <w:shd w:fill="2B5C8A" w:val="clear"/>
            <w:tcMar>
              <w:top w:type="dxa" w:w="60"/>
              <w:left w:type="dxa" w:w="100"/>
              <w:bottom w:type="dxa" w:w="60"/>
              <w:right w:type="dxa" w:w="100"/>
            </w:tcMar>
            <w:vAlign w:val="center"/>
          </w:tcPr>
          <w:p>
            <w:r>
              <w:rPr>
                <w:rFonts w:ascii="Arial" w:cs="Arial" w:eastAsia="Arial" w:hAnsi="Arial"/>
                <w:b/>
                <w:bCs/>
                <w:color w:val="FFFFFF"/>
                <w:sz w:val="20"/>
                <w:szCs w:val="20"/>
              </w:rPr>
              <w:t xml:space="preserve">Native Resolution</w:t>
            </w:r>
          </w:p>
        </w:tc>
        <w:tc>
          <w:tcPr>
            <w:tcW w:type="dxa" w:w="3360"/>
            <w:tcBorders>
              <w:top w:val="single" w:color="AAAAAA" w:sz="1"/>
              <w:left w:val="single" w:color="AAAAAA" w:sz="1"/>
              <w:bottom w:val="single" w:color="AAAAAA" w:sz="1"/>
              <w:right w:val="single" w:color="AAAAAA" w:sz="1"/>
            </w:tcBorders>
            <w:shd w:fill="2B5C8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 in Model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bCs/>
                <w:sz w:val="18"/>
                <w:szCs w:val="18"/>
              </w:rPr>
              <w:t xml:space="preserve">Elevation</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USGS 3DEP / NED</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30 m</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Primary control on temperature, precipitation regime, and growing season length.</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bCs/>
                <w:sz w:val="18"/>
                <w:szCs w:val="18"/>
              </w:rPr>
              <w:t xml:space="preserve">Slope</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Derived from DEM</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30 m</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Influences runoff partitioning and soil moisture retention.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bCs/>
                <w:sz w:val="18"/>
                <w:szCs w:val="18"/>
              </w:rPr>
              <w:t xml:space="preserve">Aspect</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Derived from DEM</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30 m</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Controls solar radiation loading and snowmelt timing.</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bCs/>
                <w:sz w:val="18"/>
                <w:szCs w:val="18"/>
              </w:rPr>
              <w:t xml:space="preserve">HAND</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Derived from DEM + NHD</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30 m</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Height Above Nearest Drainage. Proxy for landscape position relative to streams and shallow groundwater accessibility.</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bCs/>
                <w:sz w:val="18"/>
                <w:szCs w:val="18"/>
              </w:rPr>
              <w:t xml:space="preserve">Depth to Water Table</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Ma et al. (2026) WTD</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~250 m (resampled)</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Directly governs groundwater availability for phreatophytic vegetation. Critical for post-fallowing ET prediction.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bCs/>
                <w:sz w:val="18"/>
                <w:szCs w:val="18"/>
              </w:rPr>
              <w:t xml:space="preserve">Precipitation (P)</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GridMET</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~4 km (resampled)</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Annual or water-year total precipitation. Primary moisture input for natural vegetation.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bCs/>
                <w:sz w:val="18"/>
                <w:szCs w:val="18"/>
              </w:rPr>
              <w:t xml:space="preserve">Reference ET (ETo)</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GridMET</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~4 km (resampled)</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Atmospheric evaporative demand. Captures energy-limited vs. water-limited regime.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bCs/>
                <w:sz w:val="18"/>
                <w:szCs w:val="18"/>
              </w:rPr>
              <w:t xml:space="preserve">Available Water Storage</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gSSURGO (AWS)</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~30 m (SSURGO)</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Soil capacity to hold precipitation for plant use between storm events.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bCs/>
                <w:sz w:val="18"/>
                <w:szCs w:val="18"/>
              </w:rPr>
              <w:t xml:space="preserve">Sat. Hydraulic Conductivity</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gSSURGO (Ksat)</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~30 m (SSURGO)</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Governs vertical water movement through the soil profile and recharge potential.</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bCs/>
                <w:sz w:val="18"/>
                <w:szCs w:val="18"/>
              </w:rPr>
              <w:t xml:space="preserve">Drainage Class</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gSSURGO</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~30 m (SSURGO)</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Categorical indicator of soil drainage characteristics.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bCs/>
                <w:sz w:val="18"/>
                <w:szCs w:val="18"/>
              </w:rPr>
              <w:t xml:space="preserve">Biophysical Settings (BpS)</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LANDFIRE</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30 m</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Pre-European settlement vegetation community. Indicates the ecological potential of the site independent of current land use.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bCs/>
                <w:sz w:val="18"/>
                <w:szCs w:val="18"/>
              </w:rPr>
              <w:t xml:space="preserve">NDVI / EVI</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Landsat composites</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30 m</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Late-summer vegetation vigor index. Captures actual productivity of natural vegetation for training pixels.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bCs/>
                <w:sz w:val="18"/>
                <w:szCs w:val="18"/>
              </w:rPr>
              <w:t xml:space="preserve">Distance to Stream</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Derived from NHD</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30 m</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Euclidean distance to nearest NHD flowline. Helps distinguish riparian from upland settings.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bCs/>
                <w:sz w:val="18"/>
                <w:szCs w:val="18"/>
              </w:rPr>
              <w:t xml:space="preserve">NLCD Land Cover</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NLCD</w:t>
            </w:r>
          </w:p>
        </w:tc>
        <w:tc>
          <w:tcPr>
            <w:tcW w:type="dxa" w:w="2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30 m</w:t>
            </w:r>
          </w:p>
        </w:tc>
        <w:tc>
          <w:tcPr>
            <w:tcW w:type="dxa" w:w="3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Masks developed/impervious areas; provides broad land cover context.</w:t>
            </w:r>
          </w:p>
        </w:tc>
      </w:tr>
    </w:tbl>
    <w:p>
      <w:pPr>
        <w:spacing w:after="200"/>
      </w:pPr>
      <w:r>
        <w:t xml:space="preserve"/>
      </w:r>
    </w:p>
    <w:p>
      <w:pPr>
        <w:pStyle w:val="Heading1"/>
        <w:spacing w:after="200" w:before="300"/>
      </w:pPr>
      <w:r>
        <w:t xml:space="preserve">6. Training Data Selection</w:t>
      </w:r>
    </w:p>
    <w:p>
      <w:pPr>
        <w:spacing w:after="200"/>
      </w:pPr>
      <w:r>
        <w:t xml:space="preserve">The quality of the natural ETa predictions depends critically on the integrity of the training dataset. Training pixels must represent truly non-irrigated conditions across the full range of covariate space present in the study area.</w:t>
      </w:r>
    </w:p>
    <w:p>
      <w:pPr>
        <w:pStyle w:val="Heading2"/>
        <w:spacing w:after="200" w:before="300"/>
      </w:pPr>
      <w:r>
        <w:t xml:space="preserve">6.1 Inclusion Criteria</w:t>
      </w:r>
    </w:p>
    <w:p>
      <w:pPr>
        <w:pStyle w:val="ListParagraph"/>
        <w:numPr>
          <w:ilvl w:val="0"/>
          <w:numId w:val="3"/>
        </w:numPr>
        <w:spacing w:after="100"/>
      </w:pPr>
      <w:r>
        <w:t xml:space="preserve">Located outside all OpenET agricultural field boundaries</w:t>
      </w:r>
    </w:p>
    <w:p>
      <w:pPr>
        <w:pStyle w:val="ListParagraph"/>
        <w:numPr>
          <w:ilvl w:val="0"/>
          <w:numId w:val="3"/>
        </w:numPr>
        <w:spacing w:after="100"/>
      </w:pPr>
      <w:r>
        <w:t xml:space="preserve">Not flagged as irrigated by LANID or IrrMapper in the target year</w:t>
      </w:r>
    </w:p>
    <w:p>
      <w:pPr>
        <w:pStyle w:val="ListParagraph"/>
        <w:numPr>
          <w:ilvl w:val="0"/>
          <w:numId w:val="3"/>
        </w:numPr>
        <w:spacing w:after="100"/>
      </w:pPr>
      <w:r>
        <w:t xml:space="preserve">Classified as natural vegetation in NLCD (shrubland, grassland, forest, wetland)</w:t>
      </w:r>
    </w:p>
    <w:p>
      <w:pPr>
        <w:pStyle w:val="ListParagraph"/>
        <w:numPr>
          <w:ilvl w:val="0"/>
          <w:numId w:val="3"/>
        </w:numPr>
        <w:spacing w:after="100"/>
      </w:pPr>
      <w:r>
        <w:t xml:space="preserve">Not classified as developed or impervious</w:t>
      </w:r>
    </w:p>
    <w:p>
      <w:pPr>
        <w:pStyle w:val="Heading2"/>
        <w:spacing w:after="200" w:before="300"/>
      </w:pPr>
      <w:r>
        <w:t xml:space="preserve">6.2 Exclusion Criteria</w:t>
      </w:r>
    </w:p>
    <w:p>
      <w:pPr>
        <w:pStyle w:val="ListParagraph"/>
        <w:numPr>
          <w:ilvl w:val="0"/>
          <w:numId w:val="4"/>
        </w:numPr>
        <w:spacing w:after="100"/>
      </w:pPr>
      <w:r>
        <w:rPr>
          <w:b/>
          <w:bCs/>
        </w:rPr>
        <w:t xml:space="preserve">Advection buffer: </w:t>
      </w:r>
      <w:r>
        <w:t xml:space="preserve">Exclude natural pixels within a specified buffer distance (e.g., 300–500 m) of any irrigated parcel to avoid training on pixels with enhanced ET from lateral moisture advection or oasis effects.</w:t>
      </w:r>
    </w:p>
    <w:p>
      <w:pPr>
        <w:pStyle w:val="ListParagraph"/>
        <w:numPr>
          <w:ilvl w:val="0"/>
          <w:numId w:val="4"/>
        </w:numPr>
        <w:spacing w:after="100"/>
      </w:pPr>
      <w:r>
        <w:rPr>
          <w:b/>
          <w:bCs/>
        </w:rPr>
        <w:t xml:space="preserve">Open water: </w:t>
      </w:r>
      <w:r>
        <w:t xml:space="preserve">Exclude pixels classified as open water in NLCD or identified as water bodies in NHD.</w:t>
      </w:r>
    </w:p>
    <w:p>
      <w:pPr>
        <w:pStyle w:val="ListParagraph"/>
        <w:numPr>
          <w:ilvl w:val="0"/>
          <w:numId w:val="4"/>
        </w:numPr>
        <w:spacing w:after="100"/>
      </w:pPr>
      <w:r>
        <w:rPr>
          <w:b/>
          <w:bCs/>
        </w:rPr>
        <w:t xml:space="preserve">Recently disturbed: </w:t>
      </w:r>
      <w:r>
        <w:t xml:space="preserve">Optionally exclude areas with recent fire, clearing, or other disturbance that may not reflect equilibrium natural ET conditions.</w:t>
      </w:r>
    </w:p>
    <w:p>
      <w:pPr>
        <w:pStyle w:val="Heading2"/>
        <w:spacing w:after="200" w:before="300"/>
      </w:pPr>
      <w:r>
        <w:t xml:space="preserve">6.3 Fallowed-Field Validation Pixels</w:t>
      </w:r>
    </w:p>
    <w:p>
      <w:pPr>
        <w:spacing w:after="200"/>
      </w:pPr>
      <w:r>
        <w:t xml:space="preserve">Pixels within OpenET field boundaries that are not flagged as irrigated in a given year (i.e., fallowed fields) represent a valuable quasi-validation dataset. These locations have known infrastructure but were not actively irrigated, so their observed ETa provides a direct comparison point for the model’s predicted natural ETa. Agreement between predictions and observed fallowed-field ETa strengthens confidence in the model; systematic divergence indicates model bias or incomplete fallowing (e.g., residual soil moisture, cover crops).</w:t>
      </w:r>
    </w:p>
    <w:p>
      <w:pPr>
        <w:pStyle w:val="Heading1"/>
        <w:spacing w:after="200" w:before="300"/>
      </w:pPr>
      <w:r>
        <w:t xml:space="preserve">7. Model Design</w:t>
      </w:r>
    </w:p>
    <w:p>
      <w:pPr>
        <w:spacing w:after="200"/>
      </w:pPr>
      <w:r>
        <w:t xml:space="preserve">The modeling approach follows the established raster fill framework used for ETg baseline estimation, adapted for the ETa response variable and expanded covariate stack.</w:t>
      </w:r>
    </w:p>
    <w:p>
      <w:pPr>
        <w:pStyle w:val="Heading2"/>
        <w:spacing w:after="200" w:before="300"/>
      </w:pPr>
      <w:r>
        <w:t xml:space="preserve">7.1 Algorithm</w:t>
      </w:r>
    </w:p>
    <w:p>
      <w:pPr>
        <w:spacing w:after="200"/>
      </w:pPr>
      <w:r>
        <w:t xml:space="preserve">Gradient-boosted regression trees (e.g., XGBoost, LightGBM) are recommended as the primary algorithm, consistent with the ETg workflow. These models handle mixed covariate types (continuous and categorical), are robust to multicollinearity, and natively provide ensemble-based prediction uncertainty through variance across trees.</w:t>
      </w:r>
    </w:p>
    <w:p>
      <w:pPr>
        <w:pStyle w:val="Heading2"/>
        <w:spacing w:after="200" w:before="300"/>
      </w:pPr>
      <w:r>
        <w:t xml:space="preserve">7.2 Temporal Scope</w:t>
      </w:r>
    </w:p>
    <w:p>
      <w:pPr>
        <w:spacing w:after="200"/>
      </w:pPr>
      <w:r>
        <w:t xml:space="preserve">Models will be trained and applied at an annual or water-year timestep. Annual OpenET composites provide a cleaner signal than monthly estimates, particularly in the intermountain west where winter cloud cover and snow complicate sub-annual retrievals. Annual resolution also avoids the complexity of modeling seasonal phenological differences between natural and irrigated vegetation.</w:t>
      </w:r>
    </w:p>
    <w:p>
      <w:pPr>
        <w:spacing w:after="200"/>
      </w:pPr>
      <w:r>
        <w:t xml:space="preserve">Multi-year CDL composites (e.g., 3 of 5 years flagged as cropland) can be used to build more confident irrigation masks, leveraging the annual workflow cadence.</w:t>
      </w:r>
    </w:p>
    <w:p>
      <w:pPr>
        <w:pStyle w:val="Heading2"/>
        <w:spacing w:after="200" w:before="300"/>
      </w:pPr>
      <w:r>
        <w:t xml:space="preserve">7.3 Spatial Scope</w:t>
      </w:r>
    </w:p>
    <w:p>
      <w:pPr>
        <w:spacing w:after="200"/>
      </w:pPr>
      <w:r>
        <w:t xml:space="preserve">Models will be trained per basin or hydrographic area, consistent with the per-basin TOML configuration approach used in the ETg workflow. This allows the model to learn basin-specific relationships between covariates and natural ETa, accounting for regional differences in climate, vegetation communities, and groundwater systems. Cross-basin transfer could be explored as a future extension.</w:t>
      </w:r>
    </w:p>
    <w:p>
      <w:pPr>
        <w:pStyle w:val="Heading1"/>
        <w:spacing w:after="200" w:before="300"/>
      </w:pPr>
      <w:r>
        <w:t xml:space="preserve">8. Quality Flagging Scheme</w:t>
      </w:r>
    </w:p>
    <w:p>
      <w:pPr>
        <w:spacing w:after="200"/>
      </w:pPr>
      <w:r>
        <w:t xml:space="preserve">A suite of internal quality flags will accompany every prediction, providing spatially explicit confidence information. This is especially important for buy-back program applications where predictions inform financial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AAAAAA" w:sz="1"/>
              <w:left w:val="single" w:color="AAAAAA" w:sz="1"/>
              <w:bottom w:val="single" w:color="AAAAAA" w:sz="1"/>
              <w:right w:val="single" w:color="AAAAAA" w:sz="1"/>
            </w:tcBorders>
            <w:shd w:fill="2B5C8A" w:val="clear"/>
            <w:tcMar>
              <w:top w:type="dxa" w:w="60"/>
              <w:left w:type="dxa" w:w="100"/>
              <w:bottom w:type="dxa" w:w="60"/>
              <w:right w:type="dxa" w:w="100"/>
            </w:tcMar>
            <w:vAlign w:val="center"/>
          </w:tcPr>
          <w:p>
            <w:r>
              <w:rPr>
                <w:rFonts w:ascii="Arial" w:cs="Arial" w:eastAsia="Arial" w:hAnsi="Arial"/>
                <w:b/>
                <w:bCs/>
                <w:color w:val="FFFFFF"/>
                <w:sz w:val="20"/>
                <w:szCs w:val="20"/>
              </w:rPr>
              <w:t xml:space="preserve">Flag</w:t>
            </w:r>
          </w:p>
        </w:tc>
        <w:tc>
          <w:tcPr>
            <w:tcW w:type="dxa" w:w="4600"/>
            <w:tcBorders>
              <w:top w:val="single" w:color="AAAAAA" w:sz="1"/>
              <w:left w:val="single" w:color="AAAAAA" w:sz="1"/>
              <w:bottom w:val="single" w:color="AAAAAA" w:sz="1"/>
              <w:right w:val="single" w:color="AAAAAA" w:sz="1"/>
            </w:tcBorders>
            <w:shd w:fill="2B5C8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560"/>
            <w:tcBorders>
              <w:top w:val="single" w:color="AAAAAA" w:sz="1"/>
              <w:left w:val="single" w:color="AAAAAA" w:sz="1"/>
              <w:bottom w:val="single" w:color="AAAAAA" w:sz="1"/>
              <w:right w:val="single" w:color="AAAAAA" w:sz="1"/>
            </w:tcBorders>
            <w:shd w:fill="2B5C8A" w:val="clear"/>
            <w:tcMar>
              <w:top w:type="dxa" w:w="60"/>
              <w:left w:type="dxa" w:w="100"/>
              <w:bottom w:type="dxa" w:w="60"/>
              <w:right w:type="dxa" w:w="100"/>
            </w:tcMar>
            <w:vAlign w:val="center"/>
          </w:tcPr>
          <w:p>
            <w:r>
              <w:rPr>
                <w:rFonts w:ascii="Arial" w:cs="Arial" w:eastAsia="Arial" w:hAnsi="Arial"/>
                <w:b/>
                <w:bCs/>
                <w:color w:val="FFFFFF"/>
                <w:sz w:val="20"/>
                <w:szCs w:val="20"/>
              </w:rPr>
              <w:t xml:space="preserve">Implementation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bCs/>
                <w:sz w:val="18"/>
                <w:szCs w:val="18"/>
              </w:rPr>
              <w:t xml:space="preserve">Covariate Extrapolation</w:t>
            </w:r>
          </w:p>
        </w:tc>
        <w:tc>
          <w:tcPr>
            <w:tcW w:type="dxa" w:w="4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Measures whether an irrigated pixel’s feature vector falls outside the range of the training data. Computed as the distance to the nearest training point in feature space (e.g., Mahalanobis distance or percentile rank). Pixels requiring extrapolation receive a low-confidence flag.</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Continuous distance metric with threshold-based categories (low / moderate / high confidence).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bCs/>
                <w:sz w:val="18"/>
                <w:szCs w:val="18"/>
              </w:rPr>
              <w:t xml:space="preserve">Training Data Density</w:t>
            </w:r>
          </w:p>
        </w:tc>
        <w:tc>
          <w:tcPr>
            <w:tcW w:type="dxa" w:w="4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Counts the number of natural training pixels with similar covariate values in the local neighborhood. Predictions in areas with sparse training data are less constrained.</w:t>
            </w:r>
          </w:p>
        </w:tc>
        <w:tc>
          <w:tcPr>
            <w:tcW w:type="dxa" w:w="2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Integer count or density within a defined feature-space neighborhood.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bCs/>
                <w:sz w:val="18"/>
                <w:szCs w:val="18"/>
              </w:rPr>
              <w:t xml:space="preserve">Ensemble Prediction Variance</w:t>
            </w:r>
          </w:p>
        </w:tc>
        <w:tc>
          <w:tcPr>
            <w:tcW w:type="dxa" w:w="4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For tree-based models, the variance across individual tree predictions provides a direct estimate of prediction uncertainty. High variance indicates the training data do not strongly constrain the prediction.</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Standard deviation or coefficient of variation of tree-level predictions.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bCs/>
                <w:sz w:val="18"/>
                <w:szCs w:val="18"/>
              </w:rPr>
              <w:t xml:space="preserve">Negative Residual</w:t>
            </w:r>
          </w:p>
        </w:tc>
        <w:tc>
          <w:tcPr>
            <w:tcW w:type="dxa" w:w="4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Flags pixels where predicted natural ETa exceeds observed irrigated ETa (negative irrigation signal). This is physically implausible and indicates a model overprediction, a misclassified pixel, or a problematic OpenET retrieval.</w:t>
            </w:r>
          </w:p>
        </w:tc>
        <w:tc>
          <w:tcPr>
            <w:tcW w:type="dxa" w:w="2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Binary flag (true/false).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bCs/>
                <w:sz w:val="18"/>
                <w:szCs w:val="18"/>
              </w:rPr>
              <w:t xml:space="preserve">Shallow Groundwater</w:t>
            </w:r>
          </w:p>
        </w:tc>
        <w:tc>
          <w:tcPr>
            <w:tcW w:type="dxa" w:w="4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Flags pixels where HAND is low and/or depth to water table is shallow, and the predicted natural ETa is a large fraction (e.g., &gt;70%) of the observed irrigated ETa. These are parcels where buy-back would yield minimal net water savings.</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Categorical: high / moderate / low recovery potential.</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bCs/>
                <w:sz w:val="18"/>
                <w:szCs w:val="18"/>
              </w:rPr>
              <w:t xml:space="preserve">Temporal Consistency</w:t>
            </w:r>
          </w:p>
        </w:tc>
        <w:tc>
          <w:tcPr>
            <w:tcW w:type="dxa" w:w="4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For multi-year runs, flags pixels where the predicted natural ETa varies more than expected between years (covariates are mostly static, so predictions should be stable). Also flags locations where residuals do not track expected changes in irrigation activity.</w:t>
            </w:r>
          </w:p>
        </w:tc>
        <w:tc>
          <w:tcPr>
            <w:tcW w:type="dxa" w:w="2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Coefficient of variation across years; comparison with known irrigation status changes.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bCs/>
                <w:sz w:val="18"/>
                <w:szCs w:val="18"/>
              </w:rPr>
              <w:t xml:space="preserve">Irrigation Mask Agreement</w:t>
            </w:r>
          </w:p>
        </w:tc>
        <w:tc>
          <w:tcPr>
            <w:tcW w:type="dxa" w:w="4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Indicates the level of agreement among irrigation data sources (OpenET boundaries, LANID, IrrMapper) for a given pixel. Higher agreement means more confident classification.</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Categorical: all sources agree / partial agreement / single source only.</w:t>
            </w:r>
          </w:p>
        </w:tc>
      </w:tr>
    </w:tbl>
    <w:p>
      <w:pPr>
        <w:spacing w:after="200"/>
      </w:pPr>
      <w:r>
        <w:t xml:space="preserve"/>
      </w:r>
    </w:p>
    <w:p>
      <w:pPr>
        <w:pStyle w:val="Heading1"/>
        <w:spacing w:after="200" w:before="300"/>
      </w:pPr>
      <w:r>
        <w:t xml:space="preserve">9. Validation Strategy</w:t>
      </w:r>
    </w:p>
    <w:p>
      <w:pPr>
        <w:pStyle w:val="Heading2"/>
        <w:spacing w:after="200" w:before="300"/>
      </w:pPr>
      <w:r>
        <w:t xml:space="preserve">9.1 Cross-Validation of Natural ETa Predictions</w:t>
      </w:r>
    </w:p>
    <w:p>
      <w:pPr>
        <w:spacing w:after="200"/>
      </w:pPr>
      <w:r>
        <w:t xml:space="preserve">Standard k-fold or spatial cross-validation on the non-irrigated training pixels will assess how well the model predicts natural ETa at withheld locations. Spatial cross-validation (holding out entire sub-regions rather than random pixels) is preferred to avoid overly optimistic performance estimates from spatially autocorrelated data.</w:t>
      </w:r>
    </w:p>
    <w:p>
      <w:pPr>
        <w:pStyle w:val="Heading2"/>
        <w:spacing w:after="200" w:before="300"/>
      </w:pPr>
      <w:r>
        <w:t xml:space="preserve">9.2 Comparison with Water-Balance Estimates</w:t>
      </w:r>
    </w:p>
    <w:p>
      <w:pPr>
        <w:spacing w:after="200"/>
      </w:pPr>
      <w:r>
        <w:t xml:space="preserve">Where existing ET-from-applied-water estimates are available from water-balance approaches (ET Demands or similar), the raster fill residuals will be compared directly. Systematic bias, spatial patterns of agreement and disagreement, and sensitivity to covariate availability will be evaluated. These comparisons serve as the primary external validation of the irrigation signal.</w:t>
      </w:r>
    </w:p>
    <w:p>
      <w:pPr>
        <w:pStyle w:val="Heading2"/>
        <w:spacing w:after="200" w:before="300"/>
      </w:pPr>
      <w:r>
        <w:t xml:space="preserve">9.3 Fallowed-Field Observations</w:t>
      </w:r>
    </w:p>
    <w:p>
      <w:pPr>
        <w:spacing w:after="200"/>
      </w:pPr>
      <w:r>
        <w:t xml:space="preserve">Fields identified as irrigated in prior years but fallowed in the target year (via LANID/IrrMapper disagreement across years) provide a natural experiment. The observed ETa at these fallowed locations should approximate the model’s predicted natural ETa if the model is performing well. Multi-year tracking of fields that transition between irrigated and fallowed status provides a particularly powerful test.</w:t>
      </w:r>
    </w:p>
    <w:p>
      <w:pPr>
        <w:pStyle w:val="Heading2"/>
        <w:spacing w:after="200" w:before="300"/>
      </w:pPr>
      <w:r>
        <w:t xml:space="preserve">9.4 Post-Buy-Back Sites</w:t>
      </w:r>
    </w:p>
    <w:p>
      <w:pPr>
        <w:spacing w:after="200"/>
      </w:pPr>
      <w:r>
        <w:t xml:space="preserve">In Nevada and other states where water rights have been retired, before-and-after OpenET observations at known buy-back parcels can be compared against the model’s predicted post-fallowing ETa. This is the most direct validation for the intended application. Sites where the state purchased groundwater rights but observed minimal ET reduction (due to shallow groundwater) are especially informative, as the model should predict high natural ETa and low recoverable water at those locations.</w:t>
      </w:r>
    </w:p>
    <w:p>
      <w:pPr>
        <w:pStyle w:val="Heading1"/>
        <w:spacing w:after="200" w:before="300"/>
      </w:pPr>
      <w:r>
        <w:t xml:space="preserve">10. Application: Water Buy-Back and Trading Programs</w:t>
      </w:r>
    </w:p>
    <w:p>
      <w:pPr>
        <w:spacing w:after="200"/>
      </w:pPr>
      <w:r>
        <w:t xml:space="preserve">The primary motivating application is to support water buy-back and rights trading programs by providing parcel-level estimates of recoverable water. The raster fill approach offers several specific capabilities for this application:</w:t>
      </w:r>
    </w:p>
    <w:p>
      <w:pPr>
        <w:pStyle w:val="ListParagraph"/>
        <w:numPr>
          <w:ilvl w:val="0"/>
          <w:numId w:val="5"/>
        </w:numPr>
        <w:spacing w:after="100"/>
      </w:pPr>
      <w:r>
        <w:rPr>
          <w:b/>
          <w:bCs/>
        </w:rPr>
        <w:t xml:space="preserve">Parcel-level recovery estimates: </w:t>
      </w:r>
      <w:r>
        <w:t xml:space="preserve">For any irrigated parcel, the predicted natural ETa provides an estimate of what the site will revert to after irrigation ceases. The difference between current irrigated ETa and predicted natural ETa is the estimated annual water recovery.</w:t>
      </w:r>
    </w:p>
    <w:p>
      <w:pPr>
        <w:pStyle w:val="ListParagraph"/>
        <w:numPr>
          <w:ilvl w:val="0"/>
          <w:numId w:val="5"/>
        </w:numPr>
        <w:spacing w:after="100"/>
      </w:pPr>
      <w:r>
        <w:rPr>
          <w:b/>
          <w:bCs/>
        </w:rPr>
        <w:t xml:space="preserve">Portfolio prioritization: </w:t>
      </w:r>
      <w:r>
        <w:t xml:space="preserve">By ranking all irrigated parcels in a basin by predicted net water recovery, water managers can prioritize which rights to pursue for maximum return on investment. Parcels with high predicted recovery and high model confidence should be prioritized over those with low recovery potential or uncertain predictions.</w:t>
      </w:r>
    </w:p>
    <w:p>
      <w:pPr>
        <w:pStyle w:val="ListParagraph"/>
        <w:numPr>
          <w:ilvl w:val="0"/>
          <w:numId w:val="5"/>
        </w:numPr>
        <w:spacing w:after="100"/>
      </w:pPr>
      <w:r>
        <w:rPr>
          <w:b/>
          <w:bCs/>
        </w:rPr>
        <w:t xml:space="preserve">Shallow groundwater identification: </w:t>
      </w:r>
      <w:r>
        <w:t xml:space="preserve">The quality flagging system explicitly identifies parcels where shallow groundwater will sustain high natural ET after fallowing. This directly addresses the problem of purchasing rights in areas where the state receives little actual water savings, as has occurred in past Nevada buy-back programs.</w:t>
      </w:r>
    </w:p>
    <w:p>
      <w:pPr>
        <w:pStyle w:val="ListParagraph"/>
        <w:numPr>
          <w:ilvl w:val="0"/>
          <w:numId w:val="5"/>
        </w:numPr>
        <w:spacing w:after="100"/>
      </w:pPr>
      <w:r>
        <w:rPr>
          <w:b/>
          <w:bCs/>
        </w:rPr>
        <w:t xml:space="preserve">Pre-purchase due diligence: </w:t>
      </w:r>
      <w:r>
        <w:t xml:space="preserve">Before committing funds to a water rights purchase, the model’s prediction, confidence flags, and covariate values for the target parcel can be reviewed as part of a technical evaluation, providing an objective, reproducible assessment alongside traditional appraisal methods.</w:t>
      </w:r>
    </w:p>
    <w:p>
      <w:pPr>
        <w:pStyle w:val="Heading1"/>
        <w:spacing w:after="200" w:before="300"/>
      </w:pPr>
      <w:r>
        <w:t xml:space="preserve">11. Scope and Limitations</w:t>
      </w:r>
    </w:p>
    <w:p>
      <w:pPr>
        <w:pStyle w:val="ListParagraph"/>
        <w:numPr>
          <w:ilvl w:val="0"/>
          <w:numId w:val="6"/>
        </w:numPr>
        <w:spacing w:after="100"/>
      </w:pPr>
      <w:r>
        <w:rPr>
          <w:b/>
          <w:bCs/>
        </w:rPr>
        <w:t xml:space="preserve">Not a replacement for water balance models: </w:t>
      </w:r>
      <w:r>
        <w:t xml:space="preserve">This approach estimates the net ET difference between irrigated and natural conditions. It does not provide a full water budget partitioning (soil moisture dynamics, deep percolation, return flows) that process-based models deliver.</w:t>
      </w:r>
    </w:p>
    <w:p>
      <w:pPr>
        <w:pStyle w:val="ListParagraph"/>
        <w:numPr>
          <w:ilvl w:val="0"/>
          <w:numId w:val="6"/>
        </w:numPr>
        <w:spacing w:after="100"/>
      </w:pPr>
      <w:r>
        <w:rPr>
          <w:b/>
          <w:bCs/>
        </w:rPr>
        <w:t xml:space="preserve">Assumes stationarity of natural conditions: </w:t>
      </w:r>
      <w:r>
        <w:t xml:space="preserve">The model predicts natural ETa based on current covariate values. Long-term climate change, vegetation shifts, or water table changes following large-scale irrigation retirement could alter the actual post-fallowing ET trajectory.</w:t>
      </w:r>
    </w:p>
    <w:p>
      <w:pPr>
        <w:pStyle w:val="ListParagraph"/>
        <w:numPr>
          <w:ilvl w:val="0"/>
          <w:numId w:val="6"/>
        </w:numPr>
        <w:spacing w:after="100"/>
      </w:pPr>
      <w:r>
        <w:rPr>
          <w:b/>
          <w:bCs/>
        </w:rPr>
        <w:t xml:space="preserve">OpenET accuracy: </w:t>
      </w:r>
      <w:r>
        <w:t xml:space="preserve">All predictions inherit the uncertainty of the underlying OpenET ensemble product. In low-ET natural areas of the intermountain west, absolute ET values are small and relative uncertainty can be high.</w:t>
      </w:r>
    </w:p>
    <w:p>
      <w:pPr>
        <w:pStyle w:val="ListParagraph"/>
        <w:numPr>
          <w:ilvl w:val="0"/>
          <w:numId w:val="6"/>
        </w:numPr>
        <w:spacing w:after="100"/>
      </w:pPr>
      <w:r>
        <w:rPr>
          <w:b/>
          <w:bCs/>
        </w:rPr>
        <w:t xml:space="preserve">Advection effects: </w:t>
      </w:r>
      <w:r>
        <w:t xml:space="preserve">The buffer exclusion mitigates advection bias in training data, but the predicted natural ETa at an irrigated parcel does not account for changes in the local energy balance that would occur if surrounding irrigation were also retired (i.e., the model assumes the surrounding landscape stays the same).</w:t>
      </w:r>
    </w:p>
    <w:p>
      <w:pPr>
        <w:pStyle w:val="ListParagraph"/>
        <w:numPr>
          <w:ilvl w:val="0"/>
          <w:numId w:val="6"/>
        </w:numPr>
        <w:spacing w:after="100"/>
      </w:pPr>
      <w:r>
        <w:rPr>
          <w:b/>
          <w:bCs/>
        </w:rPr>
        <w:t xml:space="preserve">Annual resolution: </w:t>
      </w:r>
      <w:r>
        <w:t xml:space="preserve">The proposed annual timestep does not capture within-season timing of irrigation water consumption. Monthly decomposition is a potential future extension but adds substantial methodological complexity.</w:t>
      </w:r>
    </w:p>
    <w:p>
      <w:pPr>
        <w:pStyle w:val="Heading1"/>
        <w:spacing w:after="200" w:before="300"/>
      </w:pPr>
      <w:r>
        <w:t xml:space="preserve">12. Next Steps</w:t>
      </w:r>
    </w:p>
    <w:p>
      <w:pPr>
        <w:pStyle w:val="ListParagraph"/>
        <w:numPr>
          <w:ilvl w:val="0"/>
          <w:numId w:val="7"/>
        </w:numPr>
        <w:spacing w:after="100"/>
      </w:pPr>
      <w:r>
        <w:t xml:space="preserve">Select a pilot basin with existing water-balance ET-from-applied-water estimates for validation.</w:t>
      </w:r>
    </w:p>
    <w:p>
      <w:pPr>
        <w:pStyle w:val="ListParagraph"/>
        <w:numPr>
          <w:ilvl w:val="0"/>
          <w:numId w:val="7"/>
        </w:numPr>
        <w:spacing w:after="100"/>
      </w:pPr>
      <w:r>
        <w:t xml:space="preserve">Assemble the covariate stack and irrigation masks for the pilot basin.</w:t>
      </w:r>
    </w:p>
    <w:p>
      <w:pPr>
        <w:pStyle w:val="ListParagraph"/>
        <w:numPr>
          <w:ilvl w:val="0"/>
          <w:numId w:val="7"/>
        </w:numPr>
        <w:spacing w:after="100"/>
      </w:pPr>
      <w:r>
        <w:t xml:space="preserve">Adapt the existing ETg raster fill codebase for ETa, including expanded covariate handling and quality flag generation.</w:t>
      </w:r>
    </w:p>
    <w:p>
      <w:pPr>
        <w:pStyle w:val="ListParagraph"/>
        <w:numPr>
          <w:ilvl w:val="0"/>
          <w:numId w:val="7"/>
        </w:numPr>
        <w:spacing w:after="100"/>
      </w:pPr>
      <w:r>
        <w:t xml:space="preserve">Train and evaluate the model against cross-validation, fallowed-field, and water-balance benchmarks.</w:t>
      </w:r>
    </w:p>
    <w:p>
      <w:pPr>
        <w:pStyle w:val="ListParagraph"/>
        <w:numPr>
          <w:ilvl w:val="0"/>
          <w:numId w:val="7"/>
        </w:numPr>
        <w:spacing w:after="100"/>
      </w:pPr>
      <w:r>
        <w:t xml:space="preserve">If successful, extend to additional basins and evaluate scalability across the intermountain west.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999999"/>
        <w:sz w:val="18"/>
        <w:szCs w:val="18"/>
      </w:rPr>
      <w:t xml:space="preserve">DRI — Draft</w:t>
    </w:r>
    <w:r>
      <w:t xml:space="preserve">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i/>
        <w:iCs/>
        <w:color w:val="999999"/>
        <w:sz w:val="18"/>
        <w:szCs w:val="18"/>
      </w:rPr>
      <w:t xml:space="preserve">Natural ETa Raster Fill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C8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D7A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2026-04-13T02:22:10.507Z</dcterms:created>
  <dcterms:modified xsi:type="dcterms:W3CDTF">2026-04-13T02:22:10.507Z</dcterms:modified>
</cp:coreProperties>
</file>

<file path=docProps/custom.xml><?xml version="1.0" encoding="utf-8"?>
<Properties xmlns="http://schemas.openxmlformats.org/officeDocument/2006/custom-properties" xmlns:vt="http://schemas.openxmlformats.org/officeDocument/2006/docPropsVTypes"/>
</file>