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1b85195f6a6f3d6e15c70d6c0566502ff54bad"/>
      <w:r>
        <w:t xml:space="preserve">Counterfactual Groundwater ET Estimation for Irrigated Areas: Methodology</w:t>
      </w:r>
      <w:bookmarkEnd w:id="20"/>
    </w:p>
    <w:p>
      <w:pPr>
        <w:pStyle w:val="Heading2"/>
      </w:pPr>
      <w:bookmarkStart w:id="21" w:name="Xe8311f4d884aca1df4c706098873674e8c149b4"/>
      <w:r>
        <w:t xml:space="preserve">2.X Estimation of Counterfactual Groundwater ET</w:t>
      </w:r>
      <w:bookmarkEnd w:id="21"/>
    </w:p>
    <w:p>
      <w:pPr>
        <w:pStyle w:val="FirstParagraph"/>
      </w:pPr>
      <w:r>
        <w:t xml:space="preserve">Satellite-derived estimates of groundwater evapotranspiration (ET</w:t>
      </w:r>
      <w:r>
        <w:rPr>
          <w:vertAlign w:val="subscript"/>
        </w:rPr>
        <w:t xml:space="preserve">g</w:t>
      </w:r>
      <w:r>
        <w:t xml:space="preserve">) from Landsat imagery (Beamer et al., 2013; Minor, 2019; Huntington et al., 2022) include contributions from both natural groundwater discharge and irrigation-enhanced ET. To construct an accurate groundwater budget, the irrigation signal must be removed and replaced with an estimate of what ET</w:t>
      </w:r>
      <w:r>
        <w:rPr>
          <w:vertAlign w:val="subscript"/>
        </w:rPr>
        <w:t xml:space="preserve">g</w:t>
      </w:r>
      <w:r>
        <w:t xml:space="preserve"> would be if the land had remained in its natural state — the counterfactual baseline. The resulting product supports two downstream uses: refinement of basin water budgets through a more defensible ET</w:t>
      </w:r>
      <w:r>
        <w:rPr>
          <w:vertAlign w:val="subscript"/>
        </w:rPr>
        <w:t xml:space="preserve">g</w:t>
      </w:r>
      <w:r>
        <w:t xml:space="preserve"> estimate in irrigated areas, and decomposition of Landsat-derived total actual ET (ET</w:t>
      </w:r>
      <w:r>
        <w:rPr>
          <w:vertAlign w:val="subscript"/>
        </w:rPr>
        <w:t xml:space="preserve">a</w:t>
      </w:r>
      <w:r>
        <w:t xml:space="preserve">) into natural and applied-water components (ET</w:t>
      </w:r>
      <w:r>
        <w:rPr>
          <w:vertAlign w:val="subscript"/>
        </w:rPr>
        <w:t xml:space="preserve">a,applied</w:t>
      </w:r>
      <w:r>
        <w:t xml:space="preserve"> = ET</w:t>
      </w:r>
      <w:r>
        <w:rPr>
          <w:vertAlign w:val="subscript"/>
        </w:rPr>
        <w:t xml:space="preserve">a</w:t>
      </w:r>
      <w:r>
        <w:t xml:space="preserve"> − ET</w:t>
      </w:r>
      <w:r>
        <w:rPr>
          <w:vertAlign w:val="subscript"/>
        </w:rPr>
        <w:t xml:space="preserve">g</w:t>
      </w:r>
      <w:r>
        <w:t xml:space="preserve">).</w:t>
      </w:r>
    </w:p>
    <w:p>
      <w:pPr>
        <w:pStyle w:val="Heading3"/>
      </w:pPr>
      <w:bookmarkStart w:id="22" w:name="x.1-overview"/>
      <w:r>
        <w:t xml:space="preserve">2.X.1 Overview</w:t>
      </w:r>
      <w:bookmarkEnd w:id="22"/>
    </w:p>
    <w:p>
      <w:pPr>
        <w:pStyle w:val="FirstParagraph"/>
      </w:pPr>
      <w:r>
        <w:t xml:space="preserve">We developed an automated, data-driven workflow that replaces manually assigned replacement rates with a spatially varying baseline predicted from terrain and ecological covariates that carry no irrigation signal. The approach operates on 30-meter Landsat-derived ET</w:t>
      </w:r>
      <w:r>
        <w:rPr>
          <w:vertAlign w:val="subscript"/>
        </w:rPr>
        <w:t xml:space="preserve">g</w:t>
      </w:r>
      <w:r>
        <w:t xml:space="preserve"> rasters and applies a two-stage statistical model: (1) a per-vegetation-class mean that captures broad ecological patterns, and (2) a gradient-boosted tree model that refines the prediction using local terrain position. Where the terrain model does not improve predictions (as determined by cross-validation), the workflow falls back to spatially weighted vegetation-class means that preserve local spatial gradients without overfitting.</w:t>
      </w:r>
    </w:p>
    <w:p>
      <w:pPr>
        <w:pStyle w:val="Heading3"/>
      </w:pPr>
      <w:bookmarkStart w:id="23" w:name="x.2-input-data"/>
      <w:r>
        <w:t xml:space="preserve">2.X.2 Input Data</w:t>
      </w:r>
      <w:bookmarkEnd w:id="23"/>
    </w:p>
    <w:p>
      <w:pPr>
        <w:pStyle w:val="FirstParagraph"/>
      </w:pPr>
      <w:r>
        <w:t xml:space="preserve">The workflow uses the following covariate layers, all resampled to the 30-meter ET</w:t>
      </w:r>
      <w:r>
        <w:rPr>
          <w:vertAlign w:val="subscript"/>
        </w:rPr>
        <w:t xml:space="preserve">g</w:t>
      </w:r>
      <w:r>
        <w:t xml:space="preserve"> grid:</w:t>
      </w:r>
    </w:p>
    <w:p>
      <w:pPr>
        <w:pStyle w:val="BodyText"/>
      </w:pPr>
      <w:r>
        <w:rPr>
          <w:b/>
        </w:rPr>
        <w:t xml:space="preserve">Biophysical Settings (BpS).</w:t>
      </w:r>
      <w:r>
        <w:t xml:space="preserve"> LANDFIRE Biophysical Settings (LF2020; LANDFIRE, 2022) classify each 30-meter pixel by the vegetation community that would be expected under the pre-European-settlement natural fire regime. BpS serves as the primary ecological stratification variable because it reflects intrinsic site potential (climate, soils, topographic moisture) without carrying a contemporary land-use signal. Normalized Difference Vegetation Index (NDVI) was deliberately excluded because its greenness signal is directly enhanced by irrigation, which would leak the treatment effect into the baseline estimate.</w:t>
      </w:r>
    </w:p>
    <w:p>
      <w:pPr>
        <w:pStyle w:val="BodyText"/>
      </w:pPr>
      <w:r>
        <w:rPr>
          <w:b/>
        </w:rPr>
        <w:t xml:space="preserve">Elevation and slope.</w:t>
      </w:r>
      <w:r>
        <w:t xml:space="preserve"> Elevation was obtained from the Copernicus GLO-30 (COP30) global digital elevation model, downloaded per basin from the OpenTopography Global DEM API, or from the USGS 3D Elevation Program (3DEP) 30-meter DEM where a mosaicked CONUS DEM was already available. Slope in degrees was computed from the DEM using Horn’s method. Both capture the topographic position of each pixel relative to valley floors and alluvial fans where groundwater ET is concentrated.</w:t>
      </w:r>
    </w:p>
    <w:p>
      <w:pPr>
        <w:pStyle w:val="BodyText"/>
      </w:pPr>
      <w:r>
        <w:rPr>
          <w:b/>
        </w:rPr>
        <w:t xml:space="preserve">Height Above Nearest Drainage (HAND).</w:t>
      </w:r>
      <w:r>
        <w:t xml:space="preserve"> HAND quantifies each pixel’s vertical distance above the nearest stream channel along modeled flow paths. It was derived per basin from the clipped DEM using whitebox-tools (Lindsay, 2016): depression filling, D8 flow accumulation, stream extraction at a 1,000-cell drainage area threshold (~0.9 km</w:t>
      </w:r>
      <w:r>
        <w:rPr>
          <w:vertAlign w:val="superscript"/>
        </w:rPr>
        <w:t xml:space="preserve">2</w:t>
      </w:r>
      <w:r>
        <w:t xml:space="preserve">), and the ElevationAboveStream algorithm. HAND is a strong proxy for depth to shallow groundwater, as pixels close in elevation to the drainage network tend to have shallower water tables and higher phreatophyte ET.</w:t>
      </w:r>
    </w:p>
    <w:p>
      <w:pPr>
        <w:pStyle w:val="BodyText"/>
      </w:pPr>
      <w:r>
        <w:rPr>
          <w:b/>
        </w:rPr>
        <w:t xml:space="preserve">Water Table Depth (WTD).</w:t>
      </w:r>
      <w:r>
        <w:t xml:space="preserve"> Where available, modeled depth-to-water-table from the Ma et al. (2025) 30-meter CONUS product was included as an additional covariate.</w:t>
      </w:r>
    </w:p>
    <w:p>
      <w:pPr>
        <w:pStyle w:val="BodyText"/>
      </w:pPr>
      <w:r>
        <w:rPr>
          <w:b/>
        </w:rPr>
        <w:t xml:space="preserve">Treatment polygons.</w:t>
      </w:r>
      <w:r>
        <w:t xml:space="preserve"> Irrigated and anthropogenically augmented areas were delineated as polygons in a shapefile, with attribution indicating which polygons should receive baseline replacement (scale factor or replacement rate &gt; 0). A 90-meter buffer was applied around each treatment polygon to define the zone where baseline replacement and edge feathering occur.</w:t>
      </w:r>
    </w:p>
    <w:p>
      <w:pPr>
        <w:pStyle w:val="Heading3"/>
      </w:pPr>
      <w:bookmarkStart w:id="24" w:name="x.3-training-data-selection"/>
      <w:r>
        <w:t xml:space="preserve">2.X.3 Training Data Selection</w:t>
      </w:r>
      <w:bookmarkEnd w:id="24"/>
    </w:p>
    <w:p>
      <w:pPr>
        <w:pStyle w:val="FirstParagraph"/>
      </w:pPr>
      <w:r>
        <w:t xml:space="preserve">Training pixels were drawn exclusively from within the hydrographic basin boundary and outside all buffered treatment polygons. Additional filters excluded pixels on steep slopes (&gt; 5 degrees, configurable) and pixels with missing covariate data. Where the training set exceeded 500,000 pixels, a random subsample was drawn to manage computation time. This selection strategy ensures that the model learns from natural vegetation unaffected by irrigation, within the same basin and climatic context as the treatment areas.</w:t>
      </w:r>
    </w:p>
    <w:p>
      <w:pPr>
        <w:pStyle w:val="Heading3"/>
      </w:pPr>
      <w:bookmarkStart w:id="25" w:name="x.4-two-stage-baseline-model"/>
      <w:r>
        <w:t xml:space="preserve">2.X.4 Two-Stage Baseline Model</w:t>
      </w:r>
      <w:bookmarkEnd w:id="25"/>
    </w:p>
    <w:p>
      <w:pPr>
        <w:pStyle w:val="FirstParagraph"/>
      </w:pPr>
      <w:r>
        <w:rPr>
          <w:b/>
        </w:rPr>
        <w:t xml:space="preserve">Stage 1: Per-BpS class mean ET</w:t>
      </w:r>
      <w:r>
        <w:rPr>
          <w:vertAlign w:val="subscript"/>
          <w:b/>
        </w:rPr>
        <w:t xml:space="preserve">g</w:t>
      </w:r>
      <w:r>
        <w:rPr>
          <w:b/>
        </w:rPr>
        <w:t xml:space="preserve">.</w:t>
      </w:r>
      <w:r>
        <w:t xml:space="preserve"> For each BpS class present in the training data, the mean ET</w:t>
      </w:r>
      <w:r>
        <w:rPr>
          <w:vertAlign w:val="subscript"/>
        </w:rPr>
        <w:t xml:space="preserve">g</w:t>
      </w:r>
      <w:r>
        <w:t xml:space="preserve"> rate was computed. This captures the dominant source of ET</w:t>
      </w:r>
      <w:r>
        <w:rPr>
          <w:vertAlign w:val="subscript"/>
        </w:rPr>
        <w:t xml:space="preserve">g</w:t>
      </w:r>
      <w:r>
        <w:t xml:space="preserve"> variation: different vegetation communities have fundamentally different water use regardless of their specific landscape position.</w:t>
      </w:r>
    </w:p>
    <w:p>
      <w:pPr>
        <w:pStyle w:val="BodyText"/>
      </w:pPr>
      <w:r>
        <w:rPr>
          <w:b/>
        </w:rPr>
        <w:t xml:space="preserve">Stage 2: Terrain residual model.</w:t>
      </w:r>
      <w:r>
        <w:t xml:space="preserve"> The residual (observed ET</w:t>
      </w:r>
      <w:r>
        <w:rPr>
          <w:vertAlign w:val="subscript"/>
        </w:rPr>
        <w:t xml:space="preserve">g</w:t>
      </w:r>
      <w:r>
        <w:t xml:space="preserve"> minus BpS class mean) was modeled as a function of terrain covariates using LightGBM (Ke et al., 2017), a gradient-boosted decision tree algorithm. The feature set included elevation, slope, and (where available) water table depth and HAND. LightGBM was selected over random forests for its sequential tree-building strategy, which produces comparable or better accuracy with faster training, and its native support for early stopping.</w:t>
      </w:r>
    </w:p>
    <w:p>
      <w:pPr>
        <w:pStyle w:val="BodyText"/>
      </w:pPr>
      <w:r>
        <w:t xml:space="preserve">To prevent overfitting on small basins, 20% of the training set was held out as a validation set. Tree construction halted when validation loss failed to improve for 20 consecutive rounds (early stopping). The model was then refitted on the full training set using the optimal number of trees, so no training data was discarded from the final model.</w:t>
      </w:r>
    </w:p>
    <w:p>
      <w:pPr>
        <w:pStyle w:val="BodyText"/>
      </w:pPr>
      <w:r>
        <w:t xml:space="preserve">Model quality was assessed using 3-fold cross-validation R</w:t>
      </w:r>
      <w:r>
        <w:rPr>
          <w:vertAlign w:val="superscript"/>
        </w:rPr>
        <w:t xml:space="preserve">2</w:t>
      </w:r>
      <w:r>
        <w:t xml:space="preserve"> on the residuals. If the mean cross-validated R</w:t>
      </w:r>
      <w:r>
        <w:rPr>
          <w:vertAlign w:val="superscript"/>
        </w:rPr>
        <w:t xml:space="preserve">2</w:t>
      </w:r>
      <w:r>
        <w:t xml:space="preserve"> was negative — indicating the terrain model was degrading predictions relative to BpS class means alone — the residual model was automatically discarded and the workflow fell back to a spatial interpolation approach (Section 2.X.5).</w:t>
      </w:r>
    </w:p>
    <w:p>
      <w:pPr>
        <w:pStyle w:val="Heading3"/>
      </w:pPr>
      <w:bookmarkStart w:id="26" w:name="x.5-spatially-weighted-fallback"/>
      <w:r>
        <w:t xml:space="preserve">2.X.5 Spatially Weighted Fallback</w:t>
      </w:r>
      <w:bookmarkEnd w:id="26"/>
    </w:p>
    <w:p>
      <w:pPr>
        <w:pStyle w:val="FirstParagraph"/>
      </w:pPr>
      <w:r>
        <w:t xml:space="preserve">When the terrain residual model is discarded, the baseline for each treatment pixel is estimated using spatially weighted per-BpS class means rather than flat basin-wide class averages. For each vegetation class, the known ET</w:t>
      </w:r>
      <w:r>
        <w:rPr>
          <w:vertAlign w:val="subscript"/>
        </w:rPr>
        <w:t xml:space="preserve">g</w:t>
      </w:r>
      <w:r>
        <w:t xml:space="preserve"> values at training pixel locations are placed on the raster grid, and a Gaussian spatial filter (default sigma ~ 330 m, corresponding to an effective radius of ~1 km at 30-meter resolution) is applied to both the value layer and a pixel-count layer. The ratio of smoothed values to smoothed counts produces a local weighted mean that varies continuously across the basin: a pixel near the playa center draws primarily from nearby training pixels of the same class, while a pixel on the alluvial fan margin draws from fan-margin training data. Where the local window contains no same-class training pixels, the basin-wide class mean is used as the fallback.</w:t>
      </w:r>
    </w:p>
    <w:p>
      <w:pPr>
        <w:pStyle w:val="BodyText"/>
      </w:pPr>
      <w:r>
        <w:t xml:space="preserve">This approach captures within-class spatial gradients without requiring a parametric terrain model, and is appropriate for basins where ET</w:t>
      </w:r>
      <w:r>
        <w:rPr>
          <w:vertAlign w:val="subscript"/>
        </w:rPr>
        <w:t xml:space="preserve">g</w:t>
      </w:r>
      <w:r>
        <w:t xml:space="preserve"> varies smoothly with landscape position but the terrain covariates are too noisy to support a stable machine-learning model.</w:t>
      </w:r>
    </w:p>
    <w:p>
      <w:pPr>
        <w:pStyle w:val="Heading3"/>
      </w:pPr>
      <w:bookmarkStart w:id="27" w:name="x.6-baseline-assembly-and-fill"/>
      <w:r>
        <w:t xml:space="preserve">2.X.6 Baseline Assembly and Fill</w:t>
      </w:r>
      <w:bookmarkEnd w:id="27"/>
    </w:p>
    <w:p>
      <w:pPr>
        <w:pStyle w:val="FirstParagraph"/>
      </w:pPr>
      <w:r>
        <w:t xml:space="preserve">For each pixel in the treatment zone, the predicted baseline ET</w:t>
      </w:r>
      <w:r>
        <w:rPr>
          <w:vertAlign w:val="subscript"/>
        </w:rPr>
        <w:t xml:space="preserve">g</w:t>
      </w:r>
      <w:r>
        <w:t xml:space="preserve"> was computed as the sum of the BpS class mean (or spatially weighted class mean) and the terrain residual prediction (or zero, if the residual model was discarded). Negative predictions were clipped to zero. A downward-only constraint ensured that the filled baseline never exceeded the original ET</w:t>
      </w:r>
      <w:r>
        <w:rPr>
          <w:vertAlign w:val="subscript"/>
        </w:rPr>
        <w:t xml:space="preserve">g</w:t>
      </w:r>
      <w:r>
        <w:t xml:space="preserve"> value at any pixel, reflecting the assumption that irrigation can only increase, not decrease, apparent ET</w:t>
      </w:r>
      <w:r>
        <w:rPr>
          <w:vertAlign w:val="subscript"/>
        </w:rPr>
        <w:t xml:space="preserve">g</w:t>
      </w:r>
      <w:r>
        <w:t xml:space="preserve"> relative to the natural baseline.</w:t>
      </w:r>
    </w:p>
    <w:p>
      <w:pPr>
        <w:pStyle w:val="BodyText"/>
      </w:pPr>
      <w:r>
        <w:t xml:space="preserve">An expert adjustment scalar (default 1.0, configurable per basin and per polygon) allows hydrologists to scale the modeled baseline up or down based on domain knowledge without modifying the model itself.</w:t>
      </w:r>
    </w:p>
    <w:p>
      <w:pPr>
        <w:pStyle w:val="Heading3"/>
      </w:pPr>
      <w:bookmarkStart w:id="28" w:name="x.7-edge-feathering"/>
      <w:r>
        <w:t xml:space="preserve">2.X.7 Edge Feathering</w:t>
      </w:r>
      <w:bookmarkEnd w:id="28"/>
    </w:p>
    <w:p>
      <w:pPr>
        <w:pStyle w:val="FirstParagraph"/>
      </w:pPr>
      <w:r>
        <w:t xml:space="preserve">To avoid sharp transitions at treatment polygon boundaries, Gaussian edge feathering was applied outside the buffered treatment boundary. The feathering weight decays from 1 (full baseline) to 0 (original ET</w:t>
      </w:r>
      <w:r>
        <w:rPr>
          <w:vertAlign w:val="subscript"/>
        </w:rPr>
        <w:t xml:space="preserve">g</w:t>
      </w:r>
      <w:r>
        <w:t xml:space="preserve">) over a configurable distance (default: 4 pixels ~ 120 m), producing a smooth spatial transition between the modeled baseline inside treatment zones and the observed ET</w:t>
      </w:r>
      <w:r>
        <w:rPr>
          <w:vertAlign w:val="subscript"/>
        </w:rPr>
        <w:t xml:space="preserve">g</w:t>
      </w:r>
      <w:r>
        <w:t xml:space="preserve"> in the surrounding landscape.</w:t>
      </w:r>
    </w:p>
    <w:p>
      <w:pPr>
        <w:pStyle w:val="Heading3"/>
      </w:pPr>
      <w:bookmarkStart w:id="29" w:name="X08408c055f0d6ee29b26dd1fea2107e6e8ea659"/>
      <w:r>
        <w:t xml:space="preserve">2.X.8 Per-Basin Configuration and Reproducibility</w:t>
      </w:r>
      <w:bookmarkEnd w:id="29"/>
    </w:p>
    <w:p>
      <w:pPr>
        <w:pStyle w:val="FirstParagraph"/>
      </w:pPr>
      <w:r>
        <w:t xml:space="preserve">Each basin was processed using a TOML configuration file that records all tunable parameters (buffer distance, feathering width, slope threshold, model hyperparameters, covariate toggles, and expert adjustment factors). Run metadata files log the exact configuration, training statistics, cross-validation scores, feature importances, per-BpS class means with LANDFIRE class names, and summary results for each basin. Per-basin log files provide a timestamped audit trail. No machine-learning APIs are called at runtime; the model is trained and applied within each basin run.</w:t>
      </w:r>
    </w:p>
    <w:p>
      <w:pPr>
        <w:pStyle w:val="Heading3"/>
      </w:pPr>
      <w:bookmarkStart w:id="30" w:name="x.9-implementation"/>
      <w:r>
        <w:t xml:space="preserve">2.X.9 Implementation</w:t>
      </w:r>
      <w:bookmarkEnd w:id="30"/>
    </w:p>
    <w:p>
      <w:pPr>
        <w:pStyle w:val="FirstParagraph"/>
      </w:pPr>
      <w:r>
        <w:t xml:space="preserve">The workflow is implemented in Python using rasterio for raster I/O, geopandas for vector operations, scikit-learn for cross-validation, LightGBM for the residual model, scipy for Gaussian spatial filtering, and whitebox-tools for HAND derivation. Source code and per-basin configuration files are archived with the project data to ensure full reproducibility.</w:t>
      </w:r>
    </w:p>
    <w:p>
      <w:pPr>
        <w:pStyle w:val="Heading2"/>
      </w:pPr>
      <w:bookmarkStart w:id="31" w:name="references"/>
      <w:r>
        <w:t xml:space="preserve">References</w:t>
      </w:r>
      <w:bookmarkEnd w:id="31"/>
    </w:p>
    <w:p>
      <w:pPr>
        <w:pStyle w:val="FirstParagraph"/>
      </w:pPr>
      <w:r>
        <w:t xml:space="preserve">Beamer, J.P., Huntington, J.L., Morton, C.G., and Pohll, G.M., 2013, Estimating annual groundwater evapotranspiration from phreatophytes in the Great Basin using Landsat and flux tower measurements: Journal of the American Water Resources Association, v. 49, no. 3, p. 518–533.</w:t>
      </w:r>
    </w:p>
    <w:p>
      <w:pPr>
        <w:pStyle w:val="BodyText"/>
      </w:pPr>
      <w:r>
        <w:t xml:space="preserve">Huntington, J.L., Minor, B.A., Bromley, M., and others, 2022, Groundwater ET toolbox and methods for estimating groundwater evapotranspiration: Desert Research Institute.</w:t>
      </w:r>
    </w:p>
    <w:p>
      <w:pPr>
        <w:pStyle w:val="BodyText"/>
      </w:pPr>
      <w:r>
        <w:t xml:space="preserve">Ke, G., Meng, Q., Finley, T., Wang, T., Chen, W., Ma, W., Ye, Q., and Liu, T.Y., 2017, LightGBM: A highly efficient gradient boosting decision tree, in Advances in Neural Information Processing Systems 30, p. 3146–3154.</w:t>
      </w:r>
    </w:p>
    <w:p>
      <w:pPr>
        <w:pStyle w:val="BodyText"/>
      </w:pPr>
      <w:r>
        <w:t xml:space="preserve">LANDFIRE, 2022, LANDFIRE Biophysical Settings (LF2020): U.S. Department of the Interior and U.S. Department of Agriculture, https://landfire.gov.</w:t>
      </w:r>
    </w:p>
    <w:p>
      <w:pPr>
        <w:pStyle w:val="BodyText"/>
      </w:pPr>
      <w:r>
        <w:t xml:space="preserve">Lindsay, J.B., 2016, Whitebox GAT: A case study in geomorphometric analysis: Computers &amp; Geosciences, v. 95, p. 75–84.</w:t>
      </w:r>
    </w:p>
    <w:p>
      <w:pPr>
        <w:pStyle w:val="BodyText"/>
      </w:pPr>
      <w:r>
        <w:t xml:space="preserve">Ma, N., and others, 2025, A 30-m resolution water table depth dataset for the conterminous United States: HydroFrame.</w:t>
      </w:r>
    </w:p>
    <w:p>
      <w:pPr>
        <w:pStyle w:val="BodyText"/>
      </w:pPr>
      <w:r>
        <w:t xml:space="preserve">Minor, B.A., 2019, Improved methods for estimating groundwater evapotranspiration from satellite-derived data in the Great Basin: Desert Research Institute, Publication No. 41276.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2026-04-12T21:27:05Z</dcterms:created>
  <dcterms:modified xsi:type="dcterms:W3CDTF">2026-04-12T21:27:05Z</dcterms:modified>
</cp:coreProperties>
</file>

<file path=docProps/custom.xml><?xml version="1.0" encoding="utf-8"?>
<Properties xmlns="http://schemas.openxmlformats.org/officeDocument/2006/custom-properties" xmlns:vt="http://schemas.openxmlformats.org/officeDocument/2006/docPropsVTypes"/>
</file>