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4892" w14:textId="6323DC2B" w:rsidR="00AD2153" w:rsidRPr="00916BFC" w:rsidRDefault="00A81F29" w:rsidP="00AD2153">
      <w:pPr>
        <w:jc w:val="center"/>
        <w:rPr>
          <w:rFonts w:ascii="Bahnschrift" w:hAnsi="Bahnschrift" w:cs="Times New Roman"/>
          <w:b/>
          <w:caps/>
          <w:sz w:val="48"/>
          <w:szCs w:val="24"/>
        </w:rPr>
      </w:pPr>
      <w:r w:rsidRPr="00916BFC">
        <w:rPr>
          <w:rFonts w:ascii="Bahnschrift" w:hAnsi="Bahnschrift" w:cs="Times New Roman"/>
          <w:b/>
          <w:caps/>
          <w:sz w:val="48"/>
          <w:szCs w:val="24"/>
        </w:rPr>
        <w:t>Účetní uzávěrka a závěrka</w:t>
      </w:r>
    </w:p>
    <w:p w14:paraId="2E6132FB" w14:textId="77777777" w:rsidR="00B22B30" w:rsidRPr="00916BFC" w:rsidRDefault="00B22B30" w:rsidP="00A81F29">
      <w:pPr>
        <w:jc w:val="center"/>
        <w:rPr>
          <w:rFonts w:ascii="Bahnschrift" w:hAnsi="Bahnschrift" w:cs="Times New Roman"/>
          <w:sz w:val="24"/>
          <w:szCs w:val="24"/>
        </w:rPr>
      </w:pPr>
    </w:p>
    <w:p w14:paraId="624A7DD5" w14:textId="2FCD0FDE" w:rsidR="00A81F29" w:rsidRPr="001665B1" w:rsidRDefault="00A81F29" w:rsidP="00A81F29">
      <w:pPr>
        <w:rPr>
          <w:rFonts w:ascii="Bahnschrift" w:hAnsi="Bahnschrift" w:cs="Times New Roman"/>
          <w:b/>
          <w:bCs/>
          <w:sz w:val="24"/>
          <w:szCs w:val="24"/>
        </w:rPr>
      </w:pPr>
      <w:r w:rsidRPr="001665B1">
        <w:rPr>
          <w:rFonts w:ascii="Bahnschrift" w:hAnsi="Bahnschrift" w:cs="Times New Roman"/>
          <w:b/>
          <w:bCs/>
          <w:sz w:val="24"/>
          <w:szCs w:val="24"/>
        </w:rPr>
        <w:t>Účetní uzávěrka</w:t>
      </w:r>
    </w:p>
    <w:p w14:paraId="6F2905CF" w14:textId="2EE5BB21" w:rsidR="00A346AC" w:rsidRPr="001665B1" w:rsidRDefault="001665B1" w:rsidP="001665B1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její </w:t>
      </w:r>
      <w:r w:rsidR="00A346AC" w:rsidRPr="001665B1">
        <w:rPr>
          <w:rFonts w:ascii="Bahnschrift" w:hAnsi="Bahnschrift" w:cstheme="minorHAnsi"/>
          <w:sz w:val="24"/>
          <w:szCs w:val="24"/>
        </w:rPr>
        <w:t xml:space="preserve">sestavení uzavírá účetní práce za určité období, ale ještě předtím se musí účetnictví uvést do </w:t>
      </w:r>
      <w:r w:rsidR="00A346AC" w:rsidRPr="001665B1">
        <w:rPr>
          <w:rFonts w:ascii="Bahnschrift" w:hAnsi="Bahnschrift" w:cstheme="minorHAnsi"/>
          <w:sz w:val="24"/>
          <w:szCs w:val="24"/>
        </w:rPr>
        <w:tab/>
        <w:t>stavu, aby účetní závěrka větrně zobrazovala stav majetku, zdrojů jeho krytí a výsledek hospodaření</w:t>
      </w:r>
    </w:p>
    <w:p w14:paraId="57CD817E" w14:textId="08F4036A" w:rsidR="00A346AC" w:rsidRDefault="00A346AC" w:rsidP="00A346AC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 w:rsidRPr="001665B1">
        <w:rPr>
          <w:rFonts w:ascii="Bahnschrift" w:hAnsi="Bahnschrift" w:cstheme="minorHAnsi"/>
          <w:sz w:val="24"/>
          <w:szCs w:val="24"/>
        </w:rPr>
        <w:t>hlavní cíl uzávěrky je poskytnout komplexní informace o účetní jednotce vedení firmy, společníkům, státní správě, bankovním ústavům, věřitelům, burzám a veřejnosti</w:t>
      </w:r>
    </w:p>
    <w:p w14:paraId="0C64E142" w14:textId="01C24817" w:rsidR="00B576A4" w:rsidRDefault="00B576A4" w:rsidP="00A346AC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účetní práce za celé účetní období vrcholí v každé účetní jednotce sestavením účetní závěrky, před sestavením účetní závěrky je však třeba k poslednímu dni účetního období uzavřít účetní knihy</w:t>
      </w:r>
    </w:p>
    <w:p w14:paraId="244CBA95" w14:textId="77777777" w:rsidR="008A41D0" w:rsidRPr="001665B1" w:rsidRDefault="008A41D0" w:rsidP="008A41D0">
      <w:pPr>
        <w:pStyle w:val="Odstavecseseznamem"/>
        <w:rPr>
          <w:rFonts w:ascii="Bahnschrift" w:hAnsi="Bahnschrift" w:cstheme="minorHAnsi"/>
          <w:sz w:val="24"/>
          <w:szCs w:val="24"/>
        </w:rPr>
      </w:pPr>
    </w:p>
    <w:p w14:paraId="7C71EF01" w14:textId="5EF366FD" w:rsidR="00A346AC" w:rsidRPr="001665B1" w:rsidRDefault="001665B1" w:rsidP="00A346AC">
      <w:pPr>
        <w:rPr>
          <w:rFonts w:ascii="Bahnschrift" w:hAnsi="Bahnschrift" w:cstheme="minorHAnsi"/>
          <w:b/>
          <w:bCs/>
          <w:sz w:val="24"/>
          <w:szCs w:val="24"/>
        </w:rPr>
      </w:pPr>
      <w:r w:rsidRPr="001665B1">
        <w:rPr>
          <w:rFonts w:ascii="Bahnschrift" w:hAnsi="Bahnschrift" w:cstheme="minorHAnsi"/>
          <w:b/>
          <w:bCs/>
          <w:sz w:val="24"/>
          <w:szCs w:val="24"/>
        </w:rPr>
        <w:t>E</w:t>
      </w:r>
      <w:r w:rsidR="00A346AC" w:rsidRPr="001665B1">
        <w:rPr>
          <w:rFonts w:ascii="Bahnschrift" w:hAnsi="Bahnschrift" w:cstheme="minorHAnsi"/>
          <w:b/>
          <w:bCs/>
          <w:sz w:val="24"/>
          <w:szCs w:val="24"/>
        </w:rPr>
        <w:t>tapy účetní uzávěrky:</w:t>
      </w:r>
    </w:p>
    <w:p w14:paraId="39EAF90B" w14:textId="2F02409E" w:rsidR="00A346AC" w:rsidRPr="00916BFC" w:rsidRDefault="00A346AC" w:rsidP="00A346AC">
      <w:pPr>
        <w:rPr>
          <w:rFonts w:ascii="Bahnschrift" w:hAnsi="Bahnschrift" w:cstheme="minorHAnsi"/>
          <w:sz w:val="24"/>
          <w:szCs w:val="24"/>
        </w:rPr>
      </w:pPr>
      <w:r w:rsidRPr="00916BFC">
        <w:rPr>
          <w:rFonts w:ascii="Bahnschrift" w:hAnsi="Bahnschrift" w:cstheme="minorHAnsi"/>
          <w:sz w:val="24"/>
          <w:szCs w:val="24"/>
        </w:rPr>
        <w:t xml:space="preserve">-&gt; </w:t>
      </w:r>
      <w:r w:rsidR="008A41D0">
        <w:rPr>
          <w:rFonts w:ascii="Bahnschrift" w:hAnsi="Bahnschrift" w:cstheme="minorHAnsi"/>
          <w:sz w:val="24"/>
          <w:szCs w:val="24"/>
        </w:rPr>
        <w:t>p</w:t>
      </w:r>
      <w:r w:rsidRPr="00916BFC">
        <w:rPr>
          <w:rFonts w:ascii="Bahnschrift" w:hAnsi="Bahnschrift" w:cstheme="minorHAnsi"/>
          <w:sz w:val="24"/>
          <w:szCs w:val="24"/>
        </w:rPr>
        <w:t>řípravné práce před účetní uzávěrkou</w:t>
      </w:r>
    </w:p>
    <w:p w14:paraId="0660E242" w14:textId="701401AA" w:rsidR="00A346AC" w:rsidRPr="00916BFC" w:rsidRDefault="00A346AC" w:rsidP="00A346AC">
      <w:pPr>
        <w:rPr>
          <w:rFonts w:ascii="Bahnschrift" w:hAnsi="Bahnschrift" w:cstheme="minorHAnsi"/>
          <w:sz w:val="24"/>
          <w:szCs w:val="24"/>
        </w:rPr>
      </w:pPr>
      <w:r w:rsidRPr="00916BFC">
        <w:rPr>
          <w:rFonts w:ascii="Bahnschrift" w:hAnsi="Bahnschrift" w:cstheme="minorHAnsi"/>
          <w:sz w:val="24"/>
          <w:szCs w:val="24"/>
        </w:rPr>
        <w:t xml:space="preserve">-&gt; </w:t>
      </w:r>
      <w:r w:rsidR="008A41D0">
        <w:rPr>
          <w:rFonts w:ascii="Bahnschrift" w:hAnsi="Bahnschrift" w:cstheme="minorHAnsi"/>
          <w:sz w:val="24"/>
          <w:szCs w:val="24"/>
        </w:rPr>
        <w:t>ú</w:t>
      </w:r>
      <w:r w:rsidRPr="00916BFC">
        <w:rPr>
          <w:rFonts w:ascii="Bahnschrift" w:hAnsi="Bahnschrift" w:cstheme="minorHAnsi"/>
          <w:sz w:val="24"/>
          <w:szCs w:val="24"/>
        </w:rPr>
        <w:t>četní uzávěrka – uzavření účtů převodem jejich zůstatků na dvojici tzv.</w:t>
      </w:r>
      <w:r w:rsidR="008A41D0">
        <w:rPr>
          <w:rFonts w:ascii="Bahnschrift" w:hAnsi="Bahnschrift" w:cstheme="minorHAnsi"/>
          <w:sz w:val="24"/>
          <w:szCs w:val="24"/>
        </w:rPr>
        <w:t xml:space="preserve"> </w:t>
      </w:r>
      <w:r w:rsidRPr="00916BFC">
        <w:rPr>
          <w:rFonts w:ascii="Bahnschrift" w:hAnsi="Bahnschrift" w:cstheme="minorHAnsi"/>
          <w:sz w:val="24"/>
          <w:szCs w:val="24"/>
        </w:rPr>
        <w:t>uzávěrkových účtů (702 – konečný účet rozv</w:t>
      </w:r>
      <w:r w:rsidR="008A41D0">
        <w:rPr>
          <w:rFonts w:ascii="Bahnschrift" w:hAnsi="Bahnschrift" w:cstheme="minorHAnsi"/>
          <w:sz w:val="24"/>
          <w:szCs w:val="24"/>
        </w:rPr>
        <w:t>á</w:t>
      </w:r>
      <w:r w:rsidRPr="00916BFC">
        <w:rPr>
          <w:rFonts w:ascii="Bahnschrift" w:hAnsi="Bahnschrift" w:cstheme="minorHAnsi"/>
          <w:sz w:val="24"/>
          <w:szCs w:val="24"/>
        </w:rPr>
        <w:t>žný, 710 – Účet</w:t>
      </w:r>
      <w:r w:rsidR="008A41D0">
        <w:rPr>
          <w:rFonts w:ascii="Bahnschrift" w:hAnsi="Bahnschrift" w:cstheme="minorHAnsi"/>
          <w:sz w:val="24"/>
          <w:szCs w:val="24"/>
        </w:rPr>
        <w:t xml:space="preserve"> </w:t>
      </w:r>
      <w:r w:rsidRPr="00916BFC">
        <w:rPr>
          <w:rFonts w:ascii="Bahnschrift" w:hAnsi="Bahnschrift" w:cstheme="minorHAnsi"/>
          <w:sz w:val="24"/>
          <w:szCs w:val="24"/>
        </w:rPr>
        <w:t>zisků a ztrát)</w:t>
      </w:r>
    </w:p>
    <w:p w14:paraId="19C76F52" w14:textId="13066C97" w:rsidR="008A41D0" w:rsidRDefault="00A346AC" w:rsidP="00A81F29">
      <w:pPr>
        <w:rPr>
          <w:rFonts w:ascii="Bahnschrift" w:hAnsi="Bahnschrift" w:cstheme="minorHAnsi"/>
          <w:sz w:val="24"/>
          <w:szCs w:val="24"/>
        </w:rPr>
      </w:pPr>
      <w:r w:rsidRPr="00916BFC">
        <w:rPr>
          <w:rFonts w:ascii="Bahnschrift" w:hAnsi="Bahnschrift" w:cstheme="minorHAnsi"/>
          <w:sz w:val="24"/>
          <w:szCs w:val="24"/>
        </w:rPr>
        <w:t xml:space="preserve">-&gt; </w:t>
      </w:r>
      <w:r w:rsidR="008A41D0">
        <w:rPr>
          <w:rFonts w:ascii="Bahnschrift" w:hAnsi="Bahnschrift" w:cstheme="minorHAnsi"/>
          <w:sz w:val="24"/>
          <w:szCs w:val="24"/>
        </w:rPr>
        <w:t>ú</w:t>
      </w:r>
      <w:r w:rsidRPr="00916BFC">
        <w:rPr>
          <w:rFonts w:ascii="Bahnschrift" w:hAnsi="Bahnschrift" w:cstheme="minorHAnsi"/>
          <w:sz w:val="24"/>
          <w:szCs w:val="24"/>
        </w:rPr>
        <w:t>četní závěrka – sestavení účetních výkazů</w:t>
      </w:r>
    </w:p>
    <w:p w14:paraId="79C020EF" w14:textId="77777777" w:rsidR="008A41D0" w:rsidRPr="008A41D0" w:rsidRDefault="008A41D0" w:rsidP="00A81F29">
      <w:pPr>
        <w:rPr>
          <w:rFonts w:ascii="Bahnschrift" w:hAnsi="Bahnschrift" w:cstheme="minorHAnsi"/>
          <w:sz w:val="24"/>
          <w:szCs w:val="24"/>
        </w:rPr>
      </w:pPr>
    </w:p>
    <w:p w14:paraId="5ECA4DFC" w14:textId="71C24257" w:rsidR="00A81F29" w:rsidRPr="008A41D0" w:rsidRDefault="00A81F29" w:rsidP="00A81F29">
      <w:pPr>
        <w:rPr>
          <w:rFonts w:ascii="Bahnschrift" w:hAnsi="Bahnschrift" w:cs="Times New Roman"/>
          <w:b/>
          <w:sz w:val="24"/>
          <w:szCs w:val="24"/>
        </w:rPr>
      </w:pPr>
      <w:r w:rsidRPr="008A41D0">
        <w:rPr>
          <w:rFonts w:ascii="Bahnschrift" w:hAnsi="Bahnschrift" w:cs="Times New Roman"/>
          <w:b/>
          <w:sz w:val="24"/>
          <w:szCs w:val="24"/>
        </w:rPr>
        <w:t>Postup prací při uzavírání účetních knih lze rozdělit do dvou etap:</w:t>
      </w:r>
    </w:p>
    <w:p w14:paraId="121EB52F" w14:textId="77777777" w:rsidR="00A81F29" w:rsidRPr="00916BFC" w:rsidRDefault="00A81F29" w:rsidP="00A81F29">
      <w:pPr>
        <w:pStyle w:val="Odstavecseseznamem"/>
        <w:numPr>
          <w:ilvl w:val="0"/>
          <w:numId w:val="5"/>
        </w:numPr>
        <w:spacing w:before="240"/>
        <w:ind w:left="567" w:hanging="357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Přípravné práce</w:t>
      </w:r>
    </w:p>
    <w:p w14:paraId="3F19907C" w14:textId="10E9767B" w:rsidR="00A81F29" w:rsidRPr="00015A48" w:rsidRDefault="00B31BA0" w:rsidP="00A81F29">
      <w:pPr>
        <w:pStyle w:val="Odstavecseseznamem"/>
        <w:numPr>
          <w:ilvl w:val="1"/>
          <w:numId w:val="5"/>
        </w:numPr>
        <w:spacing w:before="240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i</w:t>
      </w:r>
      <w:r w:rsidR="00A81F29" w:rsidRPr="00916BFC">
        <w:rPr>
          <w:rFonts w:ascii="Bahnschrift" w:hAnsi="Bahnschrift" w:cs="Times New Roman"/>
          <w:sz w:val="24"/>
          <w:szCs w:val="24"/>
        </w:rPr>
        <w:t>nventarizace</w:t>
      </w:r>
    </w:p>
    <w:p w14:paraId="52C8B8AB" w14:textId="77C5C1E5" w:rsidR="00A81F29" w:rsidRPr="00916BFC" w:rsidRDefault="00B31BA0" w:rsidP="00A81F29">
      <w:pPr>
        <w:pStyle w:val="Odstavecseseznamem"/>
        <w:numPr>
          <w:ilvl w:val="1"/>
          <w:numId w:val="5"/>
        </w:numPr>
        <w:spacing w:before="240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z</w:t>
      </w:r>
      <w:r w:rsidR="00A81F29" w:rsidRPr="00916BFC">
        <w:rPr>
          <w:rFonts w:ascii="Bahnschrift" w:hAnsi="Bahnschrift" w:cs="Times New Roman"/>
          <w:sz w:val="24"/>
          <w:szCs w:val="24"/>
        </w:rPr>
        <w:t>aúčtování účetních operací na konci účetního období</w:t>
      </w:r>
    </w:p>
    <w:p w14:paraId="324319C1" w14:textId="77777777" w:rsidR="00A346AC" w:rsidRPr="00916BFC" w:rsidRDefault="00A346AC" w:rsidP="00A346AC">
      <w:pPr>
        <w:rPr>
          <w:rFonts w:ascii="Bahnschrift" w:hAnsi="Bahnschrift" w:cstheme="minorHAnsi"/>
          <w:sz w:val="24"/>
          <w:szCs w:val="24"/>
        </w:rPr>
      </w:pPr>
    </w:p>
    <w:p w14:paraId="307B6B79" w14:textId="3274065F" w:rsidR="00A346AC" w:rsidRPr="004A0DE2" w:rsidRDefault="00CD33F3" w:rsidP="003F2350">
      <w:pPr>
        <w:ind w:left="567"/>
        <w:rPr>
          <w:rFonts w:ascii="Bahnschrift" w:hAnsi="Bahnschrift" w:cstheme="minorHAnsi"/>
          <w:sz w:val="24"/>
          <w:szCs w:val="24"/>
        </w:rPr>
      </w:pPr>
      <w:r w:rsidRPr="004A0DE2">
        <w:rPr>
          <w:rFonts w:ascii="Bahnschrift" w:hAnsi="Bahnschrift" w:cstheme="minorHAnsi"/>
          <w:sz w:val="24"/>
          <w:szCs w:val="24"/>
        </w:rPr>
        <w:t>j</w:t>
      </w:r>
      <w:r w:rsidR="00A346AC" w:rsidRPr="004A0DE2">
        <w:rPr>
          <w:rFonts w:ascii="Bahnschrift" w:hAnsi="Bahnschrift" w:cstheme="minorHAnsi"/>
          <w:sz w:val="24"/>
          <w:szCs w:val="24"/>
        </w:rPr>
        <w:t xml:space="preserve">de o činnosti: </w:t>
      </w:r>
      <w:r w:rsidRPr="004A0DE2">
        <w:rPr>
          <w:rFonts w:ascii="Bahnschrift" w:hAnsi="Bahnschrift" w:cstheme="minorHAnsi"/>
          <w:sz w:val="24"/>
          <w:szCs w:val="24"/>
        </w:rPr>
        <w:t>i</w:t>
      </w:r>
      <w:r w:rsidR="00A346AC" w:rsidRPr="004A0DE2">
        <w:rPr>
          <w:rFonts w:ascii="Bahnschrift" w:hAnsi="Bahnschrift" w:cstheme="minorHAnsi"/>
          <w:sz w:val="24"/>
          <w:szCs w:val="24"/>
        </w:rPr>
        <w:t>nventarizace majetku a zásob, závěrečné operace u zásob, kontrola časového rozlišení</w:t>
      </w:r>
      <w:r w:rsidRPr="004A0DE2">
        <w:rPr>
          <w:rFonts w:ascii="Bahnschrift" w:hAnsi="Bahnschrift" w:cstheme="minorHAnsi"/>
          <w:sz w:val="24"/>
          <w:szCs w:val="24"/>
        </w:rPr>
        <w:t xml:space="preserve"> </w:t>
      </w:r>
      <w:r w:rsidR="00A346AC" w:rsidRPr="004A0DE2">
        <w:rPr>
          <w:rFonts w:ascii="Bahnschrift" w:hAnsi="Bahnschrift" w:cstheme="minorHAnsi"/>
          <w:sz w:val="24"/>
          <w:szCs w:val="24"/>
        </w:rPr>
        <w:t>nákladů a výnosů, zaúčtování dohadných položek, tvorba a zúčtování rezerv, zaúčtování kurzových rozdílů, odpis pohledávek a opravné položky k pohledávkám, kontrola správnosti účetních zápisů, uzávěrka účtů v hlavní knize</w:t>
      </w:r>
    </w:p>
    <w:p w14:paraId="0D0E22F0" w14:textId="77777777" w:rsidR="00E0597D" w:rsidRPr="00227774" w:rsidRDefault="00E0597D" w:rsidP="00227774">
      <w:pPr>
        <w:rPr>
          <w:rFonts w:ascii="Bahnschrift" w:hAnsi="Bahnschrift" w:cstheme="minorHAnsi"/>
          <w:sz w:val="24"/>
          <w:szCs w:val="24"/>
        </w:rPr>
      </w:pPr>
    </w:p>
    <w:p w14:paraId="796146DE" w14:textId="77777777" w:rsidR="00A81F29" w:rsidRPr="00916BFC" w:rsidRDefault="00A81F29" w:rsidP="00A81F29">
      <w:pPr>
        <w:pStyle w:val="Odstavecseseznamem"/>
        <w:numPr>
          <w:ilvl w:val="0"/>
          <w:numId w:val="5"/>
        </w:numPr>
        <w:spacing w:before="240"/>
        <w:ind w:left="567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Účetní uzávěrka</w:t>
      </w:r>
    </w:p>
    <w:p w14:paraId="23E8AF2E" w14:textId="77777777" w:rsidR="00A81F29" w:rsidRPr="00916BFC" w:rsidRDefault="00A81F29" w:rsidP="00A81F29">
      <w:pPr>
        <w:pStyle w:val="Odstavecseseznamem"/>
        <w:numPr>
          <w:ilvl w:val="1"/>
          <w:numId w:val="5"/>
        </w:numPr>
        <w:spacing w:before="240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zjištění výsledku hospodaření před zdaněním</w:t>
      </w:r>
    </w:p>
    <w:p w14:paraId="30954D5B" w14:textId="77777777" w:rsidR="00A81F29" w:rsidRPr="00916BFC" w:rsidRDefault="00A81F29" w:rsidP="00A81F29">
      <w:pPr>
        <w:pStyle w:val="Odstavecseseznamem"/>
        <w:numPr>
          <w:ilvl w:val="1"/>
          <w:numId w:val="5"/>
        </w:numPr>
        <w:spacing w:before="240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výpočet základu daně z příjmů a zúčtování daňové povinnosti</w:t>
      </w:r>
    </w:p>
    <w:p w14:paraId="52541D83" w14:textId="48E12E00" w:rsidR="00A346AC" w:rsidRPr="00CD33F3" w:rsidRDefault="00A81F29" w:rsidP="00A81F29">
      <w:pPr>
        <w:pStyle w:val="Odstavecseseznamem"/>
        <w:numPr>
          <w:ilvl w:val="1"/>
          <w:numId w:val="5"/>
        </w:numPr>
        <w:spacing w:before="240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uzavření všech účtů</w:t>
      </w:r>
      <w:r w:rsidR="00CB3C32">
        <w:rPr>
          <w:rFonts w:ascii="Bahnschrift" w:hAnsi="Bahnschrift" w:cs="Times New Roman"/>
          <w:sz w:val="24"/>
          <w:szCs w:val="24"/>
        </w:rPr>
        <w:t xml:space="preserve">, tj. zúčtování zůstatků všech výsledkových účtů na účet 710 – Účet zisků a ztrát, zúčtování zůstatků všech rozvahových účtů na účet 702 – Konečný účet </w:t>
      </w:r>
      <w:proofErr w:type="spellStart"/>
      <w:r w:rsidR="00CB3C32">
        <w:rPr>
          <w:rFonts w:ascii="Bahnschrift" w:hAnsi="Bahnschrift" w:cs="Times New Roman"/>
          <w:sz w:val="24"/>
          <w:szCs w:val="24"/>
        </w:rPr>
        <w:t>rozvažný</w:t>
      </w:r>
      <w:proofErr w:type="spellEnd"/>
    </w:p>
    <w:p w14:paraId="4A2B7747" w14:textId="77777777" w:rsidR="00CD33F3" w:rsidRDefault="00CD33F3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</w:p>
    <w:p w14:paraId="0B64EE75" w14:textId="77777777" w:rsidR="00CD33F3" w:rsidRDefault="00CD33F3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</w:p>
    <w:p w14:paraId="7B717582" w14:textId="77777777" w:rsidR="00CD33F3" w:rsidRDefault="00CD33F3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</w:p>
    <w:p w14:paraId="400417EA" w14:textId="77777777" w:rsidR="00CD33F3" w:rsidRDefault="00CD33F3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</w:p>
    <w:p w14:paraId="5A06B542" w14:textId="77777777" w:rsidR="00CD33F3" w:rsidRDefault="00CD33F3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</w:p>
    <w:p w14:paraId="6CBBA2A9" w14:textId="584494A0" w:rsidR="00B71FF8" w:rsidRPr="00916BFC" w:rsidRDefault="009458C0" w:rsidP="00A81F29">
      <w:pPr>
        <w:spacing w:before="240"/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lastRenderedPageBreak/>
        <w:t>Přípravné práce před účetní uzávěrkou</w:t>
      </w:r>
    </w:p>
    <w:p w14:paraId="0B537014" w14:textId="77777777" w:rsidR="009458C0" w:rsidRDefault="009458C0" w:rsidP="009458C0">
      <w:pPr>
        <w:rPr>
          <w:rFonts w:ascii="Bahnschrift" w:hAnsi="Bahnschrift" w:cs="Times New Roman"/>
          <w:bCs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t>1) Inventarizace</w:t>
      </w:r>
    </w:p>
    <w:p w14:paraId="596F68E2" w14:textId="77777777" w:rsidR="00555B5D" w:rsidRPr="004E2452" w:rsidRDefault="00555B5D" w:rsidP="00555B5D">
      <w:pPr>
        <w:pStyle w:val="Odstavecseseznamem"/>
        <w:numPr>
          <w:ilvl w:val="0"/>
          <w:numId w:val="36"/>
        </w:numPr>
        <w:ind w:left="641" w:hanging="357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jako podklad o provedené inventarizaci je třeba mít inventarizační zápisy, které musí být podepsány osobou odpovědnou za provedení inventarizace</w:t>
      </w:r>
    </w:p>
    <w:p w14:paraId="22177C0C" w14:textId="77777777" w:rsidR="00555B5D" w:rsidRPr="004E2452" w:rsidRDefault="00555B5D" w:rsidP="00555B5D">
      <w:pPr>
        <w:pStyle w:val="Odstavecseseznamem"/>
        <w:numPr>
          <w:ilvl w:val="0"/>
          <w:numId w:val="36"/>
        </w:numPr>
        <w:ind w:left="641" w:hanging="357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 xml:space="preserve">inventarizace se musí provádět dle </w:t>
      </w:r>
      <w:proofErr w:type="spellStart"/>
      <w:r>
        <w:rPr>
          <w:rFonts w:ascii="Bahnschrift" w:hAnsi="Bahnschrift" w:cs="Times New Roman"/>
          <w:bCs/>
          <w:sz w:val="24"/>
          <w:szCs w:val="24"/>
        </w:rPr>
        <w:t>ZoÚ</w:t>
      </w:r>
      <w:proofErr w:type="spellEnd"/>
      <w:r>
        <w:rPr>
          <w:rFonts w:ascii="Bahnschrift" w:hAnsi="Bahnschrift" w:cs="Times New Roman"/>
          <w:bCs/>
          <w:sz w:val="24"/>
          <w:szCs w:val="24"/>
        </w:rPr>
        <w:t xml:space="preserve"> u veškerého majetku a závazků, zůstatky příslušných rozvahových účtů je třeba doložit inventurními soupisy</w:t>
      </w:r>
    </w:p>
    <w:p w14:paraId="79FE98F2" w14:textId="77777777" w:rsidR="00555B5D" w:rsidRPr="00015A48" w:rsidRDefault="00555B5D" w:rsidP="00555B5D">
      <w:pPr>
        <w:pStyle w:val="Odstavecseseznamem"/>
        <w:numPr>
          <w:ilvl w:val="0"/>
          <w:numId w:val="36"/>
        </w:numPr>
        <w:ind w:left="641" w:hanging="357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cílem inventarizace je:</w:t>
      </w:r>
    </w:p>
    <w:p w14:paraId="373E6BC8" w14:textId="77777777" w:rsidR="00555B5D" w:rsidRPr="00015A48" w:rsidRDefault="00555B5D" w:rsidP="00555B5D">
      <w:pPr>
        <w:pStyle w:val="Odstavecseseznamem"/>
        <w:numPr>
          <w:ilvl w:val="2"/>
          <w:numId w:val="36"/>
        </w:numPr>
        <w:spacing w:before="240"/>
        <w:ind w:left="1264" w:hanging="357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kontrola věcné správnosti účetnictví (účetní jednotky inventarizací zjišťují skutečný stav veškerého majetku a závazků a ověřují, zda skutečná stav odpovídá stavu majetku a závazků v účetnictví)</w:t>
      </w:r>
    </w:p>
    <w:p w14:paraId="67D109BC" w14:textId="2A95204F" w:rsidR="00555B5D" w:rsidRPr="00ED2D52" w:rsidRDefault="00555B5D" w:rsidP="009458C0">
      <w:pPr>
        <w:pStyle w:val="Odstavecseseznamem"/>
        <w:numPr>
          <w:ilvl w:val="2"/>
          <w:numId w:val="36"/>
        </w:numPr>
        <w:spacing w:before="240"/>
        <w:ind w:left="1264" w:hanging="357"/>
        <w:rPr>
          <w:rFonts w:ascii="Bahnschrift" w:hAnsi="Bahnschrift" w:cs="Times New Roman"/>
          <w:b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kontrola reálnosti ocenění majetku a závazků (účetní jednotky musí brát v úvahu všechny předvídatelná rizika a možné ztráty, které se týkají majetku a závazků a jsou jim známy do okamžiku sestavení účetní závěrky)</w:t>
      </w:r>
    </w:p>
    <w:p w14:paraId="1AFF6105" w14:textId="77777777" w:rsidR="009458C0" w:rsidRPr="00916BFC" w:rsidRDefault="009458C0" w:rsidP="009458C0">
      <w:pPr>
        <w:pStyle w:val="Odstavecseseznamem"/>
        <w:numPr>
          <w:ilvl w:val="0"/>
          <w:numId w:val="6"/>
        </w:numPr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porovnání skutečného stavu majetku a závazků se stavem účetním</w:t>
      </w:r>
    </w:p>
    <w:p w14:paraId="5239C7AB" w14:textId="77777777" w:rsidR="009458C0" w:rsidRPr="00916BFC" w:rsidRDefault="009458C0" w:rsidP="009458C0">
      <w:pPr>
        <w:pStyle w:val="Odstavecseseznamem"/>
        <w:numPr>
          <w:ilvl w:val="1"/>
          <w:numId w:val="6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Skutečný stav je nižší než stav účetní</w:t>
      </w:r>
    </w:p>
    <w:p w14:paraId="610D64A5" w14:textId="2D589553" w:rsidR="009458C0" w:rsidRPr="00ED2D52" w:rsidRDefault="009458C0" w:rsidP="00ED2D52">
      <w:pPr>
        <w:pStyle w:val="Odstavecseseznamem"/>
        <w:numPr>
          <w:ilvl w:val="2"/>
          <w:numId w:val="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přirozený úbytek</w:t>
      </w:r>
      <w:r w:rsidR="00ED2D52">
        <w:rPr>
          <w:rFonts w:ascii="Bahnschrift" w:hAnsi="Bahnschrift" w:cs="Times New Roman"/>
          <w:sz w:val="24"/>
          <w:szCs w:val="24"/>
        </w:rPr>
        <w:t xml:space="preserve"> (</w:t>
      </w:r>
      <w:r w:rsidRPr="00ED2D52">
        <w:rPr>
          <w:rFonts w:ascii="Bahnschrift" w:hAnsi="Bahnschrift" w:cs="Times New Roman"/>
          <w:sz w:val="24"/>
          <w:szCs w:val="24"/>
        </w:rPr>
        <w:t>jako běžná spotřeba</w:t>
      </w:r>
      <w:r w:rsidR="00ED2D52">
        <w:rPr>
          <w:rFonts w:ascii="Bahnschrift" w:hAnsi="Bahnschrift" w:cs="Times New Roman"/>
          <w:sz w:val="24"/>
          <w:szCs w:val="24"/>
        </w:rPr>
        <w:t>)</w:t>
      </w:r>
    </w:p>
    <w:p w14:paraId="4241E40E" w14:textId="3C83E8A0" w:rsidR="009458C0" w:rsidRPr="00ED2D52" w:rsidRDefault="009458C0" w:rsidP="00ED2D52">
      <w:pPr>
        <w:pStyle w:val="Odstavecseseznamem"/>
        <w:numPr>
          <w:ilvl w:val="2"/>
          <w:numId w:val="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manko</w:t>
      </w:r>
      <w:r w:rsidR="00ED2D52">
        <w:rPr>
          <w:rFonts w:ascii="Bahnschrift" w:hAnsi="Bahnschrift" w:cs="Times New Roman"/>
          <w:sz w:val="24"/>
          <w:szCs w:val="24"/>
        </w:rPr>
        <w:t xml:space="preserve"> (</w:t>
      </w:r>
      <w:r w:rsidRPr="00ED2D52">
        <w:rPr>
          <w:rFonts w:ascii="Bahnschrift" w:hAnsi="Bahnschrift" w:cs="Times New Roman"/>
          <w:sz w:val="24"/>
          <w:szCs w:val="24"/>
        </w:rPr>
        <w:t>na účet 549 nebo 569</w:t>
      </w:r>
      <w:r w:rsidR="00ED2D52">
        <w:rPr>
          <w:rFonts w:ascii="Bahnschrift" w:hAnsi="Bahnschrift" w:cs="Times New Roman"/>
          <w:sz w:val="24"/>
          <w:szCs w:val="24"/>
        </w:rPr>
        <w:t>)</w:t>
      </w:r>
    </w:p>
    <w:p w14:paraId="782D21F3" w14:textId="6C2BE627" w:rsidR="00ED2D52" w:rsidRPr="00ED2D52" w:rsidRDefault="009458C0" w:rsidP="00ED2D52">
      <w:pPr>
        <w:pStyle w:val="Odstavecseseznamem"/>
        <w:numPr>
          <w:ilvl w:val="1"/>
          <w:numId w:val="6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Skutečný stav je vyšší než stav účetní</w:t>
      </w:r>
    </w:p>
    <w:p w14:paraId="5FC17546" w14:textId="17B0C26B" w:rsidR="00A346AC" w:rsidRPr="00916BFC" w:rsidRDefault="00ED2D52" w:rsidP="00ED2D52">
      <w:pPr>
        <w:ind w:left="340"/>
        <w:rPr>
          <w:rFonts w:ascii="Bahnschrift" w:hAnsi="Bahnschrift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6EB5B7AA" wp14:editId="222CC0F4">
            <wp:simplePos x="0" y="0"/>
            <wp:positionH relativeFrom="column">
              <wp:posOffset>387350</wp:posOffset>
            </wp:positionH>
            <wp:positionV relativeFrom="paragraph">
              <wp:posOffset>232410</wp:posOffset>
            </wp:positionV>
            <wp:extent cx="5593080" cy="3212465"/>
            <wp:effectExtent l="0" t="0" r="7620" b="6985"/>
            <wp:wrapTopAndBottom/>
            <wp:docPr id="88258115" name="Obrázek 1" descr="Náhled obráz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hled obrázk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D52">
        <w:rPr>
          <w:rFonts w:ascii="Bahnschrift" w:hAnsi="Bahnschrift" w:cs="Times New Roman"/>
          <w:sz w:val="24"/>
          <w:szCs w:val="24"/>
        </w:rPr>
        <w:t>Účtování:</w:t>
      </w:r>
    </w:p>
    <w:p w14:paraId="52077D7E" w14:textId="77777777" w:rsidR="00ED2D52" w:rsidRPr="00ED2D52" w:rsidRDefault="00ED2D52" w:rsidP="00ED2D52">
      <w:pPr>
        <w:pStyle w:val="Odstavecseseznamem"/>
        <w:rPr>
          <w:rFonts w:ascii="Bahnschrift" w:hAnsi="Bahnschrift" w:cs="Times New Roman"/>
          <w:b/>
          <w:bCs/>
          <w:sz w:val="24"/>
          <w:szCs w:val="24"/>
        </w:rPr>
      </w:pPr>
    </w:p>
    <w:p w14:paraId="5DE9134D" w14:textId="113C514C" w:rsidR="009458C0" w:rsidRPr="00015A48" w:rsidRDefault="00A346AC" w:rsidP="00FF53D4">
      <w:pPr>
        <w:pStyle w:val="Odstavecseseznamem"/>
        <w:numPr>
          <w:ilvl w:val="0"/>
          <w:numId w:val="34"/>
        </w:numPr>
        <w:rPr>
          <w:rFonts w:ascii="Bahnschrift" w:hAnsi="Bahnschrift" w:cs="Times New Roman"/>
          <w:b/>
          <w:bCs/>
          <w:sz w:val="24"/>
          <w:szCs w:val="24"/>
        </w:rPr>
      </w:pPr>
      <w:r w:rsidRPr="00015A48">
        <w:rPr>
          <w:rFonts w:ascii="Bahnschrift" w:hAnsi="Bahnschrift" w:cstheme="minorHAnsi"/>
          <w:b/>
          <w:bCs/>
          <w:sz w:val="24"/>
          <w:szCs w:val="24"/>
        </w:rPr>
        <w:t>porovnání účetní hodnoty</w:t>
      </w:r>
      <w:r w:rsidRPr="00015A48">
        <w:rPr>
          <w:rFonts w:ascii="Bahnschrift" w:hAnsi="Bahnschrift" w:cs="Times New Roman"/>
          <w:b/>
          <w:bCs/>
          <w:sz w:val="24"/>
          <w:szCs w:val="24"/>
        </w:rPr>
        <w:t xml:space="preserve"> </w:t>
      </w:r>
      <w:r w:rsidR="009458C0" w:rsidRPr="00015A48">
        <w:rPr>
          <w:rFonts w:ascii="Bahnschrift" w:hAnsi="Bahnschrift" w:cs="Times New Roman"/>
          <w:b/>
          <w:bCs/>
          <w:sz w:val="24"/>
          <w:szCs w:val="24"/>
        </w:rPr>
        <w:t>majetku s hodnotou reálnou a zaúčtování případných rozdílů</w:t>
      </w:r>
    </w:p>
    <w:p w14:paraId="101784F1" w14:textId="18D62ACD" w:rsidR="00A346AC" w:rsidRPr="00FF53D4" w:rsidRDefault="00A346AC" w:rsidP="00FF53D4">
      <w:pPr>
        <w:pStyle w:val="Odstavecseseznamem"/>
        <w:numPr>
          <w:ilvl w:val="0"/>
          <w:numId w:val="35"/>
        </w:numPr>
        <w:ind w:left="1434" w:hanging="357"/>
        <w:rPr>
          <w:rFonts w:ascii="Bahnschrift" w:hAnsi="Bahnschrift" w:cstheme="minorHAnsi"/>
          <w:sz w:val="24"/>
          <w:szCs w:val="24"/>
        </w:rPr>
      </w:pPr>
      <w:r w:rsidRPr="00FF53D4">
        <w:rPr>
          <w:rFonts w:ascii="Bahnschrift" w:hAnsi="Bahnschrift" w:cstheme="minorHAnsi"/>
          <w:sz w:val="24"/>
          <w:szCs w:val="24"/>
        </w:rPr>
        <w:t>pokud je reálná hodnota majetku trvale nižší, účtuje se jako škoda (549/majetkový účet)</w:t>
      </w:r>
    </w:p>
    <w:p w14:paraId="7153D356" w14:textId="637963B5" w:rsidR="00A346AC" w:rsidRPr="00FF53D4" w:rsidRDefault="00A346AC" w:rsidP="00FF53D4">
      <w:pPr>
        <w:pStyle w:val="Odstavecseseznamem"/>
        <w:numPr>
          <w:ilvl w:val="0"/>
          <w:numId w:val="35"/>
        </w:numPr>
        <w:ind w:left="1434" w:hanging="357"/>
        <w:rPr>
          <w:rFonts w:ascii="Bahnschrift" w:hAnsi="Bahnschrift" w:cstheme="minorHAnsi"/>
          <w:sz w:val="24"/>
          <w:szCs w:val="24"/>
        </w:rPr>
      </w:pPr>
      <w:r w:rsidRPr="00FF53D4">
        <w:rPr>
          <w:rFonts w:ascii="Bahnschrift" w:hAnsi="Bahnschrift" w:cstheme="minorHAnsi"/>
          <w:sz w:val="24"/>
          <w:szCs w:val="24"/>
        </w:rPr>
        <w:t>u dočasného snížení hodnoty majetku účtujeme pomocí opravných položek (559/09.,19.,29.,391)</w:t>
      </w:r>
    </w:p>
    <w:p w14:paraId="584C8653" w14:textId="5BE6411C" w:rsidR="007F2F8F" w:rsidRPr="0029654D" w:rsidRDefault="00A346AC" w:rsidP="00AC1412">
      <w:pPr>
        <w:pStyle w:val="Odstavecseseznamem"/>
        <w:numPr>
          <w:ilvl w:val="0"/>
          <w:numId w:val="35"/>
        </w:numPr>
        <w:ind w:left="1434" w:hanging="357"/>
        <w:rPr>
          <w:rFonts w:ascii="Bahnschrift" w:hAnsi="Bahnschrift" w:cstheme="minorHAnsi"/>
          <w:sz w:val="24"/>
          <w:szCs w:val="24"/>
        </w:rPr>
      </w:pPr>
      <w:r w:rsidRPr="00FF53D4">
        <w:rPr>
          <w:rFonts w:ascii="Bahnschrift" w:hAnsi="Bahnschrift" w:cstheme="minorHAnsi"/>
          <w:sz w:val="24"/>
          <w:szCs w:val="24"/>
        </w:rPr>
        <w:t>u vybraných cenných papírů lze účetní hodnotu i navyšovat na úroveň hodnoty reálné, ale ne přes opravné položky (účty 251,253 proti 564 nebo 664; účet 257 proti 414)</w:t>
      </w:r>
    </w:p>
    <w:p w14:paraId="35E8ACCF" w14:textId="77777777" w:rsidR="00AC1412" w:rsidRDefault="00AC1412" w:rsidP="00AC1412">
      <w:pPr>
        <w:spacing w:before="240"/>
        <w:rPr>
          <w:rFonts w:ascii="Bahnschrift" w:hAnsi="Bahnschrift" w:cs="Times New Roman"/>
          <w:b/>
          <w:sz w:val="24"/>
          <w:szCs w:val="24"/>
          <w:u w:val="single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lastRenderedPageBreak/>
        <w:t>2) Zaúčtování účetních operací na konci účetního období</w:t>
      </w:r>
    </w:p>
    <w:p w14:paraId="4BD407EB" w14:textId="3BAF0D8E" w:rsidR="003F6BA1" w:rsidRDefault="003F6BA1" w:rsidP="003F6BA1">
      <w:pPr>
        <w:pStyle w:val="Odstavecseseznamem"/>
        <w:numPr>
          <w:ilvl w:val="0"/>
          <w:numId w:val="34"/>
        </w:numPr>
        <w:ind w:left="714" w:hanging="357"/>
        <w:rPr>
          <w:rFonts w:ascii="Bahnschrift" w:hAnsi="Bahnschrift" w:cs="Times New Roman"/>
          <w:bCs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k získání věrného zobrazení hospodářské a finanční situace účetní jednotky je třeba:</w:t>
      </w:r>
    </w:p>
    <w:p w14:paraId="51319343" w14:textId="0FE36FC9" w:rsidR="003F6BA1" w:rsidRDefault="003F6BA1" w:rsidP="003F6BA1">
      <w:pPr>
        <w:pStyle w:val="Odstavecseseznamem"/>
        <w:numPr>
          <w:ilvl w:val="1"/>
          <w:numId w:val="34"/>
        </w:numPr>
        <w:rPr>
          <w:rFonts w:ascii="Bahnschrift" w:hAnsi="Bahnschrift" w:cs="Times New Roman"/>
          <w:bCs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do výsledku hospodaření promítnout dlouhodobě i krátkodobě existující rizika a možné ztráty ještě před jejich vznikem</w:t>
      </w:r>
    </w:p>
    <w:p w14:paraId="0A509470" w14:textId="1F88F5A8" w:rsidR="003F6BA1" w:rsidRDefault="003F6BA1" w:rsidP="003F6BA1">
      <w:pPr>
        <w:pStyle w:val="Odstavecseseznamem"/>
        <w:numPr>
          <w:ilvl w:val="1"/>
          <w:numId w:val="34"/>
        </w:numPr>
        <w:rPr>
          <w:rFonts w:ascii="Bahnschrift" w:hAnsi="Bahnschrift" w:cs="Times New Roman"/>
          <w:bCs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náklady, výdaje, výnosy a příjmy přiřadit k tomu období, jehož se věcně a časově týkají</w:t>
      </w:r>
    </w:p>
    <w:p w14:paraId="44A84613" w14:textId="02E2E476" w:rsidR="003F6BA1" w:rsidRDefault="003F6BA1" w:rsidP="003F6BA1">
      <w:pPr>
        <w:pStyle w:val="Odstavecseseznamem"/>
        <w:numPr>
          <w:ilvl w:val="1"/>
          <w:numId w:val="34"/>
        </w:numPr>
        <w:rPr>
          <w:rFonts w:ascii="Bahnschrift" w:hAnsi="Bahnschrift" w:cs="Times New Roman"/>
          <w:bCs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zaúčtovat účetní případy, které sice již nastaly, ale ještě k nim nejsou doklady</w:t>
      </w:r>
    </w:p>
    <w:p w14:paraId="5CB2426A" w14:textId="7E337B50" w:rsidR="003F6BA1" w:rsidRPr="003F6BA1" w:rsidRDefault="003F6BA1" w:rsidP="003F6BA1">
      <w:pPr>
        <w:pStyle w:val="Odstavecseseznamem"/>
        <w:numPr>
          <w:ilvl w:val="1"/>
          <w:numId w:val="34"/>
        </w:numPr>
        <w:rPr>
          <w:rFonts w:ascii="Bahnschrift" w:hAnsi="Bahnschrift" w:cs="Times New Roman"/>
          <w:bCs/>
          <w:sz w:val="24"/>
          <w:szCs w:val="24"/>
        </w:rPr>
      </w:pPr>
      <w:r>
        <w:rPr>
          <w:rFonts w:ascii="Bahnschrift" w:hAnsi="Bahnschrift" w:cs="Times New Roman"/>
          <w:bCs/>
          <w:sz w:val="24"/>
          <w:szCs w:val="24"/>
        </w:rPr>
        <w:t>k tomuto účelu se provádí účtování účetních operací na konci účetního období, tzv. uzávěrkových operací, patří k nim zejména:</w:t>
      </w:r>
    </w:p>
    <w:p w14:paraId="62D7FD40" w14:textId="2ACC1C64" w:rsidR="000724F5" w:rsidRPr="000724F5" w:rsidRDefault="00AC1412" w:rsidP="000724F5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Závěrečné operace u zásob</w:t>
      </w:r>
    </w:p>
    <w:p w14:paraId="1C110DE2" w14:textId="7F6E271E" w:rsidR="000724F5" w:rsidRPr="000724F5" w:rsidRDefault="000724F5" w:rsidP="000724F5">
      <w:pPr>
        <w:pStyle w:val="Odstavecseseznamem"/>
        <w:numPr>
          <w:ilvl w:val="0"/>
          <w:numId w:val="19"/>
        </w:numPr>
        <w:ind w:left="981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účetní operace na konci roku (společné pro způsob A i B):</w:t>
      </w:r>
    </w:p>
    <w:p w14:paraId="03792E97" w14:textId="0D1538E0" w:rsidR="000724F5" w:rsidRPr="000724F5" w:rsidRDefault="000724F5" w:rsidP="003B42CD">
      <w:pPr>
        <w:pStyle w:val="Odstavecseseznamem"/>
        <w:numPr>
          <w:ilvl w:val="4"/>
          <w:numId w:val="19"/>
        </w:numPr>
        <w:ind w:left="1434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proúčtování zásob na cestě, tzn. účetní jednotka má faktury, avšak zásoby do konce roky nedošly</w:t>
      </w:r>
    </w:p>
    <w:p w14:paraId="0FDEB6D6" w14:textId="0CE25750" w:rsidR="000724F5" w:rsidRPr="000724F5" w:rsidRDefault="000724F5" w:rsidP="003B42CD">
      <w:pPr>
        <w:pStyle w:val="Odstavecseseznamem"/>
        <w:numPr>
          <w:ilvl w:val="4"/>
          <w:numId w:val="19"/>
        </w:numPr>
        <w:ind w:left="1434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proúčtování nevyfakturovaných dodávek u nakupovaných zásob v případech, kdy účetní jednotka převzala zásoby, ale dosud nemá faktury (účtování pomocí dohadných položek)</w:t>
      </w:r>
    </w:p>
    <w:p w14:paraId="3F3612C7" w14:textId="1C912E18" w:rsidR="000724F5" w:rsidRPr="000724F5" w:rsidRDefault="000724F5" w:rsidP="003B42CD">
      <w:pPr>
        <w:pStyle w:val="Odstavecseseznamem"/>
        <w:numPr>
          <w:ilvl w:val="4"/>
          <w:numId w:val="19"/>
        </w:numPr>
        <w:ind w:left="1434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porovnání výsledků inventury zásob s účetním stavem (způsob A) nebo s operativní evidencí (způsob B)</w:t>
      </w:r>
    </w:p>
    <w:p w14:paraId="4AC223C2" w14:textId="0519837B" w:rsidR="000724F5" w:rsidRPr="000724F5" w:rsidRDefault="000724F5" w:rsidP="003B42CD">
      <w:pPr>
        <w:pStyle w:val="Odstavecseseznamem"/>
        <w:numPr>
          <w:ilvl w:val="4"/>
          <w:numId w:val="19"/>
        </w:numPr>
        <w:ind w:left="1434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u manka jeho porovnáním s vnitropodnikovou směrnicí normy přirozených úbytků a v závislosti na tom pak inventurní rozdíl zaúčtovat</w:t>
      </w:r>
    </w:p>
    <w:p w14:paraId="28722877" w14:textId="5E05AFB3" w:rsidR="000724F5" w:rsidRPr="003B42CD" w:rsidRDefault="000724F5" w:rsidP="003B42CD">
      <w:pPr>
        <w:pStyle w:val="Odstavecseseznamem"/>
        <w:numPr>
          <w:ilvl w:val="4"/>
          <w:numId w:val="19"/>
        </w:numPr>
        <w:ind w:left="1434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posouzení účetní hodnoty zásob na skladě v porovnání s jejich skutečnou hodnotou a rozhodnutí o případné tvorbě opravných položek či odpisu</w:t>
      </w:r>
    </w:p>
    <w:p w14:paraId="6B5A3E53" w14:textId="33FE9829" w:rsidR="003B42CD" w:rsidRPr="003B42CD" w:rsidRDefault="003B42CD" w:rsidP="003B42CD">
      <w:pPr>
        <w:pStyle w:val="Odstavecseseznamem"/>
        <w:numPr>
          <w:ilvl w:val="0"/>
          <w:numId w:val="34"/>
        </w:numPr>
        <w:ind w:left="981" w:hanging="357"/>
        <w:rPr>
          <w:rFonts w:ascii="Bahnschrift" w:hAnsi="Bahnschrift" w:cs="Times New Roman"/>
          <w:sz w:val="24"/>
          <w:szCs w:val="24"/>
          <w:u w:val="single"/>
        </w:rPr>
      </w:pPr>
      <w:r>
        <w:rPr>
          <w:rFonts w:ascii="Bahnschrift" w:hAnsi="Bahnschrift" w:cs="Times New Roman"/>
          <w:sz w:val="24"/>
          <w:szCs w:val="24"/>
        </w:rPr>
        <w:t>u způsobu B se musí ještě zaúčtovat úprava zásob na skladě, a to buď odúčtování počátečního stavu zásob a zaúčtování konečného stavu zásob podle skladové evidence, nebo pouhým vyjádřením změny stavu zásob</w:t>
      </w:r>
    </w:p>
    <w:p w14:paraId="6FECAD27" w14:textId="3DA9FAA8" w:rsidR="00AC1412" w:rsidRPr="000724F5" w:rsidRDefault="00AC1412" w:rsidP="000724F5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0724F5">
        <w:rPr>
          <w:rFonts w:ascii="Bahnschrift" w:hAnsi="Bahnschrift" w:cs="Times New Roman"/>
          <w:sz w:val="24"/>
          <w:szCs w:val="24"/>
          <w:u w:val="single"/>
        </w:rPr>
        <w:t>Časové rozlišení nákladů a výnosů</w:t>
      </w:r>
    </w:p>
    <w:p w14:paraId="65BBB3EA" w14:textId="77777777" w:rsidR="00AC1412" w:rsidRDefault="00AC1412" w:rsidP="00CD33F3">
      <w:pPr>
        <w:pStyle w:val="Odstavecseseznamem"/>
        <w:numPr>
          <w:ilvl w:val="2"/>
          <w:numId w:val="25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účty časového rozlišení podléhají dokladové inventarizace, proto se musí u účtů 381 až 385 zkontrolovat (podle analytické evidence), zda souhlasí jednotlivé tituly časového rozlišení se skutečností</w:t>
      </w:r>
    </w:p>
    <w:p w14:paraId="6CF216DC" w14:textId="77777777" w:rsidR="00AC1412" w:rsidRPr="00916BFC" w:rsidRDefault="00AC1412" w:rsidP="00AC1412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Dohadné položky</w:t>
      </w:r>
    </w:p>
    <w:p w14:paraId="1E63E39F" w14:textId="77777777" w:rsidR="00AC1412" w:rsidRPr="00916BFC" w:rsidRDefault="00AC1412" w:rsidP="00CD33F3">
      <w:pPr>
        <w:pStyle w:val="Odstavecseseznamem"/>
        <w:numPr>
          <w:ilvl w:val="2"/>
          <w:numId w:val="2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dohadné položky jsou existující, avšak dosud nepotvrzené pohledávky a závazky</w:t>
      </w:r>
    </w:p>
    <w:p w14:paraId="791FFB3D" w14:textId="6A1AD187" w:rsidR="00AC1412" w:rsidRPr="00AE4AE3" w:rsidRDefault="00AC1412" w:rsidP="00AE4AE3">
      <w:pPr>
        <w:pStyle w:val="Odstavecseseznamem"/>
        <w:numPr>
          <w:ilvl w:val="2"/>
          <w:numId w:val="2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 xml:space="preserve">je znám účel i období, ale není známa přesná částka </w:t>
      </w:r>
      <w:r w:rsidRPr="00916BFC">
        <w:rPr>
          <w:rFonts w:ascii="Bahnschrift" w:hAnsi="Bahnschrift" w:cs="Times New Roman"/>
          <w:sz w:val="24"/>
          <w:szCs w:val="24"/>
        </w:rPr>
        <w:sym w:font="Symbol" w:char="F0AE"/>
      </w:r>
      <w:r w:rsidRPr="00916BFC">
        <w:rPr>
          <w:rFonts w:ascii="Bahnschrift" w:hAnsi="Bahnschrift" w:cs="Times New Roman"/>
          <w:sz w:val="24"/>
          <w:szCs w:val="24"/>
        </w:rPr>
        <w:t xml:space="preserve"> není externí účetní doklad</w:t>
      </w:r>
      <w:r w:rsidR="00AE4AE3">
        <w:rPr>
          <w:rFonts w:ascii="Bahnschrift" w:hAnsi="Bahnschrift" w:cs="Times New Roman"/>
          <w:sz w:val="24"/>
          <w:szCs w:val="24"/>
        </w:rPr>
        <w:t xml:space="preserve"> (</w:t>
      </w:r>
      <w:r w:rsidR="00AE4AE3" w:rsidRPr="00916BFC">
        <w:rPr>
          <w:rFonts w:ascii="Bahnschrift" w:hAnsi="Bahnschrift" w:cstheme="minorHAnsi"/>
          <w:sz w:val="24"/>
          <w:szCs w:val="24"/>
        </w:rPr>
        <w:t>např</w:t>
      </w:r>
      <w:r w:rsidR="00AE4AE3">
        <w:rPr>
          <w:rFonts w:ascii="Bahnschrift" w:hAnsi="Bahnschrift" w:cstheme="minorHAnsi"/>
          <w:sz w:val="24"/>
          <w:szCs w:val="24"/>
        </w:rPr>
        <w:t>.</w:t>
      </w:r>
      <w:r w:rsidR="00AE4AE3" w:rsidRPr="00916BFC">
        <w:rPr>
          <w:rFonts w:ascii="Bahnschrift" w:hAnsi="Bahnschrift" w:cstheme="minorHAnsi"/>
          <w:sz w:val="24"/>
          <w:szCs w:val="24"/>
        </w:rPr>
        <w:t xml:space="preserve"> nevyfakturované ale uskutečněné dodávky služeb</w:t>
      </w:r>
      <w:r w:rsidR="00AE4AE3">
        <w:rPr>
          <w:rFonts w:ascii="Bahnschrift" w:hAnsi="Bahnschrift" w:cstheme="minorHAnsi"/>
          <w:sz w:val="24"/>
          <w:szCs w:val="24"/>
        </w:rPr>
        <w:t>)</w:t>
      </w:r>
    </w:p>
    <w:p w14:paraId="5AF64101" w14:textId="2ED174CF" w:rsidR="00AC1412" w:rsidRPr="00916BFC" w:rsidRDefault="00AC1412" w:rsidP="00CD33F3">
      <w:pPr>
        <w:pStyle w:val="Odstavecseseznamem"/>
        <w:numPr>
          <w:ilvl w:val="2"/>
          <w:numId w:val="2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v následujícím období se pak účtuje již o částce potvrzené a případný rozdíl je nákladem či výnosem tohoto období</w:t>
      </w:r>
    </w:p>
    <w:p w14:paraId="347AF687" w14:textId="40801334" w:rsidR="00A346AC" w:rsidRPr="00916BFC" w:rsidRDefault="00A346AC" w:rsidP="00CD33F3">
      <w:pPr>
        <w:pStyle w:val="Odstavecseseznamem"/>
        <w:numPr>
          <w:ilvl w:val="2"/>
          <w:numId w:val="26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theme="minorHAnsi"/>
          <w:sz w:val="24"/>
          <w:szCs w:val="24"/>
        </w:rPr>
        <w:t>účty 388 a 389</w:t>
      </w:r>
    </w:p>
    <w:p w14:paraId="3428A84B" w14:textId="77777777" w:rsidR="003309E8" w:rsidRPr="00916BFC" w:rsidRDefault="003309E8" w:rsidP="003309E8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Rezervy</w:t>
      </w:r>
    </w:p>
    <w:p w14:paraId="1DE66EA1" w14:textId="1C510DF8" w:rsidR="00A346AC" w:rsidRPr="00CD33F3" w:rsidRDefault="003309E8" w:rsidP="00CD33F3">
      <w:pPr>
        <w:pStyle w:val="Odstavecseseznamem"/>
        <w:numPr>
          <w:ilvl w:val="2"/>
          <w:numId w:val="27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 xml:space="preserve">v rámci inventarizace je třeba zkontrolovat, zda </w:t>
      </w:r>
      <w:r w:rsidR="00AE4AE3">
        <w:rPr>
          <w:rFonts w:ascii="Bahnschrift" w:hAnsi="Bahnschrift" w:cs="Times New Roman"/>
          <w:sz w:val="24"/>
          <w:szCs w:val="24"/>
        </w:rPr>
        <w:t>je potřeba provést tvorbu konkrétní rezervy a zda u již vytvořených rezerv stále trvají důvody pro jejich existenci</w:t>
      </w:r>
    </w:p>
    <w:p w14:paraId="0FFE2DAE" w14:textId="6C91978B" w:rsidR="00A346AC" w:rsidRPr="00CD33F3" w:rsidRDefault="00A346AC" w:rsidP="00CD33F3">
      <w:pPr>
        <w:pStyle w:val="Odstavecseseznamem"/>
        <w:numPr>
          <w:ilvl w:val="2"/>
          <w:numId w:val="27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theme="minorHAnsi"/>
          <w:sz w:val="24"/>
          <w:szCs w:val="24"/>
        </w:rPr>
        <w:t>např. zákonné rezervy – tvorba 552/451, čerpání 451/552</w:t>
      </w:r>
    </w:p>
    <w:p w14:paraId="18EB252F" w14:textId="77777777" w:rsidR="00A346AC" w:rsidRDefault="00A346AC" w:rsidP="00A346AC">
      <w:pPr>
        <w:pStyle w:val="Odstavecseseznamem"/>
        <w:ind w:left="340"/>
        <w:rPr>
          <w:rFonts w:ascii="Bahnschrift" w:hAnsi="Bahnschrift" w:cstheme="minorHAnsi"/>
          <w:sz w:val="24"/>
          <w:szCs w:val="24"/>
        </w:rPr>
      </w:pPr>
    </w:p>
    <w:p w14:paraId="5ACEF029" w14:textId="77777777" w:rsidR="00AE4AE3" w:rsidRPr="00916BFC" w:rsidRDefault="00AE4AE3" w:rsidP="00A346AC">
      <w:pPr>
        <w:pStyle w:val="Odstavecseseznamem"/>
        <w:ind w:left="340"/>
        <w:rPr>
          <w:rFonts w:ascii="Bahnschrift" w:hAnsi="Bahnschrift" w:cstheme="minorHAnsi"/>
          <w:sz w:val="24"/>
          <w:szCs w:val="24"/>
        </w:rPr>
      </w:pPr>
    </w:p>
    <w:p w14:paraId="54489685" w14:textId="77777777" w:rsidR="003309E8" w:rsidRPr="00916BFC" w:rsidRDefault="003309E8" w:rsidP="003309E8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lastRenderedPageBreak/>
        <w:t>Kurzové rozdíly</w:t>
      </w:r>
    </w:p>
    <w:p w14:paraId="6C74CC1B" w14:textId="4A4AF532" w:rsidR="00451C12" w:rsidRDefault="00451C12" w:rsidP="00CD33F3">
      <w:pPr>
        <w:pStyle w:val="Odstavecseseznamem"/>
        <w:numPr>
          <w:ilvl w:val="2"/>
          <w:numId w:val="28"/>
        </w:numPr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>je třeba vyčíslit kurzové rozdíly u majetku evidovaného v cizí měně (např. valutová pokladna, devizový účet) a dále u pohledávek a závazků (zpravidla z neuhrazených faktur)</w:t>
      </w:r>
    </w:p>
    <w:p w14:paraId="0062FA91" w14:textId="0A0B3ECC" w:rsidR="003D1BAA" w:rsidRPr="00CD33F3" w:rsidRDefault="003309E8" w:rsidP="00CD33F3">
      <w:pPr>
        <w:pStyle w:val="Odstavecseseznamem"/>
        <w:numPr>
          <w:ilvl w:val="2"/>
          <w:numId w:val="28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>na základě kurzu ČNB k poslednímu dni účetního období</w:t>
      </w:r>
    </w:p>
    <w:p w14:paraId="11975F11" w14:textId="1EAA253B" w:rsidR="003D1BAA" w:rsidRPr="00CD33F3" w:rsidRDefault="003D1BAA" w:rsidP="00CD33F3">
      <w:pPr>
        <w:pStyle w:val="Odstavecseseznamem"/>
        <w:numPr>
          <w:ilvl w:val="2"/>
          <w:numId w:val="28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theme="minorHAnsi"/>
          <w:sz w:val="24"/>
          <w:szCs w:val="24"/>
        </w:rPr>
        <w:t>zjištěné rozdíly oproti dosavadní hodnotě příslušného účtu (např. 211,221,321,311) zaúčtovat jako finanční náklad nebo výnos (563, 663)</w:t>
      </w:r>
    </w:p>
    <w:p w14:paraId="023914C4" w14:textId="77777777" w:rsidR="003309E8" w:rsidRPr="00916BFC" w:rsidRDefault="003309E8" w:rsidP="003309E8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916BFC">
        <w:rPr>
          <w:rFonts w:ascii="Bahnschrift" w:hAnsi="Bahnschrift" w:cs="Times New Roman"/>
          <w:sz w:val="24"/>
          <w:szCs w:val="24"/>
          <w:u w:val="single"/>
        </w:rPr>
        <w:t>Opravné položky</w:t>
      </w:r>
    </w:p>
    <w:p w14:paraId="62DE5C5F" w14:textId="77777777" w:rsidR="003309E8" w:rsidRPr="00CD33F3" w:rsidRDefault="003309E8" w:rsidP="00CD33F3">
      <w:pPr>
        <w:pStyle w:val="Odstavecseseznamem"/>
        <w:numPr>
          <w:ilvl w:val="2"/>
          <w:numId w:val="29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>vytvářejí se k majetkovým účtům v případě, že:</w:t>
      </w:r>
    </w:p>
    <w:p w14:paraId="078A990F" w14:textId="77777777" w:rsidR="003309E8" w:rsidRPr="00916BFC" w:rsidRDefault="003309E8" w:rsidP="00CD33F3">
      <w:pPr>
        <w:pStyle w:val="Odstavecseseznamem"/>
        <w:numPr>
          <w:ilvl w:val="3"/>
          <w:numId w:val="7"/>
        </w:numPr>
        <w:ind w:left="1475" w:hanging="284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skutečná hodnota sledovaného majetku je nižší než účetní hodnota</w:t>
      </w:r>
    </w:p>
    <w:p w14:paraId="6B1E982F" w14:textId="77777777" w:rsidR="003309E8" w:rsidRPr="00916BFC" w:rsidRDefault="003309E8" w:rsidP="00CD33F3">
      <w:pPr>
        <w:pStyle w:val="Odstavecseseznamem"/>
        <w:numPr>
          <w:ilvl w:val="3"/>
          <w:numId w:val="7"/>
        </w:numPr>
        <w:ind w:left="1475" w:hanging="284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snížení tohoto majetku není trvalého charakteru</w:t>
      </w:r>
    </w:p>
    <w:p w14:paraId="0FC124B6" w14:textId="77777777" w:rsidR="003309E8" w:rsidRPr="00CD33F3" w:rsidRDefault="003309E8" w:rsidP="00CD33F3">
      <w:pPr>
        <w:pStyle w:val="Odstavecseseznamem"/>
        <w:numPr>
          <w:ilvl w:val="2"/>
          <w:numId w:val="29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>je nutné dodržovat tyto zásady:</w:t>
      </w:r>
    </w:p>
    <w:p w14:paraId="7FAA014D" w14:textId="77777777" w:rsidR="003309E8" w:rsidRPr="00916BFC" w:rsidRDefault="003309E8" w:rsidP="00A16173">
      <w:pPr>
        <w:pStyle w:val="Odstavecseseznamem"/>
        <w:numPr>
          <w:ilvl w:val="4"/>
          <w:numId w:val="38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opravné položky nesmějí mít aktivní zůstatek</w:t>
      </w:r>
    </w:p>
    <w:p w14:paraId="3800E71A" w14:textId="77777777" w:rsidR="003309E8" w:rsidRPr="00916BFC" w:rsidRDefault="003309E8" w:rsidP="00A16173">
      <w:pPr>
        <w:pStyle w:val="Odstavecseseznamem"/>
        <w:numPr>
          <w:ilvl w:val="4"/>
          <w:numId w:val="38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tvořit opravnou položku na zvýšení hodnoty majetku se nesmí</w:t>
      </w:r>
    </w:p>
    <w:p w14:paraId="140AF7FD" w14:textId="01809C25" w:rsidR="00A16173" w:rsidRPr="00A16173" w:rsidRDefault="003309E8" w:rsidP="00A16173">
      <w:pPr>
        <w:pStyle w:val="Odstavecseseznamem"/>
        <w:numPr>
          <w:ilvl w:val="4"/>
          <w:numId w:val="38"/>
        </w:numPr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nelze současně vytvářet rezervu i opravnou položku ke stejnému majetku</w:t>
      </w:r>
    </w:p>
    <w:p w14:paraId="66889E0E" w14:textId="77777777" w:rsidR="003309E8" w:rsidRPr="00CD33F3" w:rsidRDefault="003309E8" w:rsidP="003309E8">
      <w:pPr>
        <w:pStyle w:val="Odstavecseseznamem"/>
        <w:numPr>
          <w:ilvl w:val="0"/>
          <w:numId w:val="7"/>
        </w:numPr>
        <w:rPr>
          <w:rFonts w:ascii="Bahnschrift" w:hAnsi="Bahnschrift" w:cs="Times New Roman"/>
          <w:sz w:val="24"/>
          <w:szCs w:val="24"/>
          <w:u w:val="single"/>
        </w:rPr>
      </w:pPr>
      <w:r w:rsidRPr="00CD33F3">
        <w:rPr>
          <w:rFonts w:ascii="Bahnschrift" w:hAnsi="Bahnschrift" w:cs="Times New Roman"/>
          <w:sz w:val="24"/>
          <w:szCs w:val="24"/>
          <w:u w:val="single"/>
        </w:rPr>
        <w:t>Odpis pohledávek</w:t>
      </w:r>
    </w:p>
    <w:p w14:paraId="22246B0F" w14:textId="77777777" w:rsidR="003309E8" w:rsidRPr="00CD33F3" w:rsidRDefault="003309E8" w:rsidP="00CD33F3">
      <w:pPr>
        <w:pStyle w:val="Odstavecseseznamem"/>
        <w:numPr>
          <w:ilvl w:val="2"/>
          <w:numId w:val="29"/>
        </w:numPr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 xml:space="preserve">v případě, kdy se věřitel opodstatněně domnívá, že se jedná o trvalé snížení hodnoty pohledávky </w:t>
      </w:r>
      <w:r w:rsidRPr="00916BFC">
        <w:sym w:font="Symbol" w:char="F0AE"/>
      </w:r>
      <w:r w:rsidRPr="00CD33F3">
        <w:rPr>
          <w:rFonts w:ascii="Bahnschrift" w:hAnsi="Bahnschrift" w:cs="Times New Roman"/>
          <w:sz w:val="24"/>
          <w:szCs w:val="24"/>
        </w:rPr>
        <w:t xml:space="preserve"> nebude dlužníkem uhrazena</w:t>
      </w:r>
    </w:p>
    <w:p w14:paraId="6A2BEE78" w14:textId="25124383" w:rsidR="003309E8" w:rsidRPr="00CD33F3" w:rsidRDefault="00A16173" w:rsidP="00CD33F3">
      <w:pPr>
        <w:pStyle w:val="Odstavecseseznamem"/>
        <w:numPr>
          <w:ilvl w:val="2"/>
          <w:numId w:val="29"/>
        </w:numPr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náklad vzniklý při odpisu pohledávky (účet) je </w:t>
      </w:r>
      <w:r w:rsidR="003309E8" w:rsidRPr="00CD33F3">
        <w:rPr>
          <w:rFonts w:ascii="Bahnschrift" w:hAnsi="Bahnschrift" w:cs="Times New Roman"/>
          <w:sz w:val="24"/>
          <w:szCs w:val="24"/>
        </w:rPr>
        <w:t xml:space="preserve">daňově uznatelný </w:t>
      </w:r>
      <w:r>
        <w:rPr>
          <w:rFonts w:ascii="Bahnschrift" w:hAnsi="Bahnschrift" w:cs="Times New Roman"/>
          <w:sz w:val="24"/>
          <w:szCs w:val="24"/>
        </w:rPr>
        <w:t xml:space="preserve">pouze v případě, že splňuje podmínky uvedené v ZDP </w:t>
      </w:r>
    </w:p>
    <w:p w14:paraId="5A3052FE" w14:textId="77777777" w:rsidR="007E0642" w:rsidRDefault="007E0642" w:rsidP="003309E8">
      <w:pPr>
        <w:rPr>
          <w:rFonts w:ascii="Bahnschrift" w:hAnsi="Bahnschrift" w:cs="Times New Roman"/>
          <w:sz w:val="24"/>
          <w:szCs w:val="24"/>
        </w:rPr>
      </w:pPr>
    </w:p>
    <w:p w14:paraId="13E24521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34AFD89E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3AAE8730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033194A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24909DE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4A35F5F2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2B7984B1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23FE6BF4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3A683535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5C2BD7FA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CE39C7F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48FB3BF2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63EB5D6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6E2BDBBC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5C67677C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61531B28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27F91043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092A5673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05E3B481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3C06D4E5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511492DD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84B2BD9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56FE8A5B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0BC3D32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13FFEFF0" w14:textId="77777777" w:rsidR="00964FBC" w:rsidRDefault="00964FBC" w:rsidP="003309E8">
      <w:pPr>
        <w:rPr>
          <w:rFonts w:ascii="Bahnschrift" w:hAnsi="Bahnschrift" w:cs="Times New Roman"/>
          <w:sz w:val="24"/>
          <w:szCs w:val="24"/>
        </w:rPr>
      </w:pPr>
    </w:p>
    <w:p w14:paraId="59B7D65E" w14:textId="77777777" w:rsidR="00536901" w:rsidRPr="00916BFC" w:rsidRDefault="00536901" w:rsidP="003309E8">
      <w:pPr>
        <w:rPr>
          <w:rFonts w:ascii="Bahnschrift" w:hAnsi="Bahnschrift" w:cs="Times New Roman"/>
          <w:b/>
          <w:sz w:val="24"/>
          <w:szCs w:val="24"/>
        </w:rPr>
      </w:pPr>
    </w:p>
    <w:p w14:paraId="04091A72" w14:textId="3D0F13AA" w:rsidR="00964FBC" w:rsidRPr="00964FBC" w:rsidRDefault="00A623BF" w:rsidP="00964FBC">
      <w:pPr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lastRenderedPageBreak/>
        <w:t>Uz</w:t>
      </w:r>
      <w:r w:rsidR="00964FBC">
        <w:rPr>
          <w:rFonts w:ascii="Bahnschrift" w:hAnsi="Bahnschrift" w:cs="Times New Roman"/>
          <w:b/>
          <w:sz w:val="24"/>
          <w:szCs w:val="24"/>
        </w:rPr>
        <w:t xml:space="preserve">avření </w:t>
      </w:r>
      <w:r w:rsidRPr="00916BFC">
        <w:rPr>
          <w:rFonts w:ascii="Bahnschrift" w:hAnsi="Bahnschrift" w:cs="Times New Roman"/>
          <w:b/>
          <w:sz w:val="24"/>
          <w:szCs w:val="24"/>
        </w:rPr>
        <w:t>účtů v hlavní knize</w:t>
      </w:r>
    </w:p>
    <w:p w14:paraId="2E412276" w14:textId="265DBA55" w:rsidR="003D1BAA" w:rsidRDefault="003D1BAA" w:rsidP="003A3FB8">
      <w:pPr>
        <w:pStyle w:val="Odstavecseseznamem"/>
        <w:numPr>
          <w:ilvl w:val="0"/>
          <w:numId w:val="20"/>
        </w:numPr>
        <w:ind w:left="714" w:hanging="357"/>
        <w:rPr>
          <w:rFonts w:ascii="Bahnschrift" w:hAnsi="Bahnschrift" w:cstheme="minorHAnsi"/>
          <w:sz w:val="24"/>
          <w:szCs w:val="24"/>
        </w:rPr>
      </w:pPr>
      <w:r w:rsidRPr="00916BFC">
        <w:rPr>
          <w:rFonts w:ascii="Bahnschrift" w:hAnsi="Bahnschrift" w:cstheme="minorHAnsi"/>
          <w:sz w:val="24"/>
          <w:szCs w:val="24"/>
        </w:rPr>
        <w:t>p</w:t>
      </w:r>
      <w:r w:rsidR="00964FBC">
        <w:rPr>
          <w:rFonts w:ascii="Bahnschrift" w:hAnsi="Bahnschrift" w:cstheme="minorHAnsi"/>
          <w:sz w:val="24"/>
          <w:szCs w:val="24"/>
        </w:rPr>
        <w:t xml:space="preserve">o zaúčtování všech účetních případů (včetně uzávěrkových) do účetního období následuje uzavírání účetních knih k poslednímu dni účetního období (tzv. rozvahovému dni) – </w:t>
      </w:r>
      <w:r w:rsidR="00964FBC" w:rsidRPr="00964FBC">
        <w:rPr>
          <w:rFonts w:ascii="Bahnschrift" w:hAnsi="Bahnschrift" w:cstheme="minorHAnsi"/>
          <w:b/>
          <w:bCs/>
          <w:sz w:val="24"/>
          <w:szCs w:val="24"/>
        </w:rPr>
        <w:t>roční účetní uzávěrka</w:t>
      </w:r>
      <w:r w:rsidR="00964FBC">
        <w:rPr>
          <w:rFonts w:ascii="Bahnschrift" w:hAnsi="Bahnschrift" w:cstheme="minorHAnsi"/>
          <w:sz w:val="24"/>
          <w:szCs w:val="24"/>
        </w:rPr>
        <w:t>, rozumí se jí:</w:t>
      </w:r>
    </w:p>
    <w:p w14:paraId="546511C3" w14:textId="12C50D5C" w:rsidR="00964FBC" w:rsidRDefault="00964FBC" w:rsidP="003A3FB8">
      <w:pPr>
        <w:pStyle w:val="Odstavecseseznamem"/>
        <w:numPr>
          <w:ilvl w:val="3"/>
          <w:numId w:val="20"/>
        </w:numPr>
        <w:ind w:left="154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zjištění obratů stran Má dáti a Dal jednotlivých syntetických účtů</w:t>
      </w:r>
    </w:p>
    <w:p w14:paraId="4C8F29D7" w14:textId="6500F6C5" w:rsidR="00964FBC" w:rsidRDefault="00964FBC" w:rsidP="003A3FB8">
      <w:pPr>
        <w:pStyle w:val="Odstavecseseznamem"/>
        <w:numPr>
          <w:ilvl w:val="3"/>
          <w:numId w:val="20"/>
        </w:numPr>
        <w:ind w:left="154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zjištění konečných stavů aktivních a pasivních účtů a uzavření každého účtů, tj. zapsání konečného stavu na slabší stranu účtu a jeho převod podvojným zápisem na závěrkový účet 702 – Konečný účet </w:t>
      </w:r>
      <w:proofErr w:type="spellStart"/>
      <w:r>
        <w:rPr>
          <w:rFonts w:ascii="Bahnschrift" w:hAnsi="Bahnschrift" w:cstheme="minorHAnsi"/>
          <w:sz w:val="24"/>
          <w:szCs w:val="24"/>
        </w:rPr>
        <w:t>rozvažný</w:t>
      </w:r>
      <w:proofErr w:type="spellEnd"/>
    </w:p>
    <w:p w14:paraId="51280E62" w14:textId="7E734C86" w:rsidR="00964FBC" w:rsidRDefault="00964FBC" w:rsidP="003A3FB8">
      <w:pPr>
        <w:pStyle w:val="Odstavecseseznamem"/>
        <w:numPr>
          <w:ilvl w:val="3"/>
          <w:numId w:val="20"/>
        </w:numPr>
        <w:ind w:left="154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zjištění konečných stavů nákladových a výnosových účtů a jejich účetní převod na závěrkový účet 710 – Účet zisků a ztrát (zde se zjistí výsledek hospodaření členěný na provozní a finanční)</w:t>
      </w:r>
    </w:p>
    <w:p w14:paraId="78FBF4CC" w14:textId="300C6A90" w:rsidR="00964FBC" w:rsidRDefault="00964FBC" w:rsidP="003A3FB8">
      <w:pPr>
        <w:pStyle w:val="Odstavecseseznamem"/>
        <w:numPr>
          <w:ilvl w:val="3"/>
          <w:numId w:val="20"/>
        </w:numPr>
        <w:ind w:left="1548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zjištění celkového výsledku hospodaření za účetní období na účtu 710 formou rozdílu celkových nákladů a celkových výnosů a jeho převod podvojným zápisem na účet 702 – Konečný účet </w:t>
      </w:r>
      <w:proofErr w:type="spellStart"/>
      <w:r>
        <w:rPr>
          <w:rFonts w:ascii="Bahnschrift" w:hAnsi="Bahnschrift" w:cstheme="minorHAnsi"/>
          <w:sz w:val="24"/>
          <w:szCs w:val="24"/>
        </w:rPr>
        <w:t>rozvažný</w:t>
      </w:r>
      <w:proofErr w:type="spellEnd"/>
    </w:p>
    <w:p w14:paraId="766AE9C8" w14:textId="3074D1B1" w:rsidR="003D1BAA" w:rsidRPr="00916BFC" w:rsidRDefault="003D1BAA" w:rsidP="003309E8">
      <w:pPr>
        <w:rPr>
          <w:rFonts w:ascii="Bahnschrift" w:hAnsi="Bahnschrift" w:cs="Times New Roman"/>
          <w:b/>
          <w:sz w:val="24"/>
          <w:szCs w:val="24"/>
        </w:rPr>
      </w:pPr>
    </w:p>
    <w:p w14:paraId="391193D9" w14:textId="04E5FFE5" w:rsidR="00557327" w:rsidRPr="00916BFC" w:rsidRDefault="002623DB" w:rsidP="003309E8">
      <w:pPr>
        <w:rPr>
          <w:rFonts w:ascii="Bahnschrift" w:hAnsi="Bahnschrift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0C0F841" wp14:editId="324C2B49">
            <wp:simplePos x="0" y="0"/>
            <wp:positionH relativeFrom="column">
              <wp:posOffset>36195</wp:posOffset>
            </wp:positionH>
            <wp:positionV relativeFrom="paragraph">
              <wp:posOffset>294005</wp:posOffset>
            </wp:positionV>
            <wp:extent cx="6067425" cy="4541520"/>
            <wp:effectExtent l="0" t="0" r="9525" b="0"/>
            <wp:wrapTopAndBottom/>
            <wp:docPr id="208912094" name="Obrázek 2" descr="Projekt: CZ.1.07/1.5.00/ „SŠHL Frýdlant.moderní školy“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: CZ.1.07/1.5.00/ „SŠHL Frýdlant.moderní školy“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2" b="5419"/>
                    <a:stretch/>
                  </pic:blipFill>
                  <pic:spPr bwMode="auto">
                    <a:xfrm>
                      <a:off x="0" y="0"/>
                      <a:ext cx="606742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2F6" w:rsidRPr="004612F6">
        <w:rPr>
          <w:rFonts w:ascii="Bahnschrift" w:hAnsi="Bahnschrift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F9BB1B" wp14:editId="36A51A39">
                <wp:simplePos x="0" y="0"/>
                <wp:positionH relativeFrom="column">
                  <wp:posOffset>3114040</wp:posOffset>
                </wp:positionH>
                <wp:positionV relativeFrom="paragraph">
                  <wp:posOffset>857885</wp:posOffset>
                </wp:positionV>
                <wp:extent cx="2360930" cy="1404620"/>
                <wp:effectExtent l="0" t="0" r="127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BB6F" w14:textId="2F22C2B0" w:rsidR="004612F6" w:rsidRDefault="004612F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F9BB1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45.2pt;margin-top:67.5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CUjbwriAAAACwEAAA8AAAAAAAAAAAAAAAAAaAQAAGRycy9kb3ducmV2LnhtbFBLBQYAAAAABAAE&#10;APMAAAB3BQAAAAA=&#10;" stroked="f">
                <v:textbox style="mso-fit-shape-to-text:t">
                  <w:txbxContent>
                    <w:p w14:paraId="183FBB6F" w14:textId="2F22C2B0" w:rsidR="004612F6" w:rsidRDefault="004612F6"/>
                  </w:txbxContent>
                </v:textbox>
                <w10:wrap type="square"/>
              </v:shape>
            </w:pict>
          </mc:Fallback>
        </mc:AlternateContent>
      </w:r>
      <w:r w:rsidR="00557327" w:rsidRPr="00916BFC">
        <w:rPr>
          <w:rFonts w:ascii="Bahnschrift" w:hAnsi="Bahnschrift" w:cs="Times New Roman"/>
          <w:sz w:val="24"/>
          <w:szCs w:val="24"/>
          <w:u w:val="single"/>
        </w:rPr>
        <w:t>Převod konečných zůstatků:</w:t>
      </w:r>
    </w:p>
    <w:p w14:paraId="7261CCA3" w14:textId="499EDB45" w:rsidR="00A623BF" w:rsidRPr="00916BFC" w:rsidRDefault="00A623BF" w:rsidP="003309E8">
      <w:pPr>
        <w:rPr>
          <w:rFonts w:ascii="Bahnschrift" w:hAnsi="Bahnschrift"/>
          <w:noProof/>
          <w:sz w:val="24"/>
          <w:szCs w:val="24"/>
        </w:rPr>
      </w:pPr>
    </w:p>
    <w:p w14:paraId="2CF47D21" w14:textId="6B4A2661" w:rsidR="00A623BF" w:rsidRDefault="00A623BF" w:rsidP="003309E8">
      <w:pPr>
        <w:rPr>
          <w:rFonts w:ascii="Bahnschrift" w:hAnsi="Bahnschrift" w:cs="Times New Roman"/>
          <w:sz w:val="24"/>
          <w:szCs w:val="24"/>
        </w:rPr>
      </w:pPr>
    </w:p>
    <w:p w14:paraId="353375C0" w14:textId="183D2CB0" w:rsidR="00715001" w:rsidRDefault="00715001" w:rsidP="003309E8">
      <w:pPr>
        <w:rPr>
          <w:rFonts w:ascii="Bahnschrift" w:hAnsi="Bahnschrift" w:cs="Times New Roman"/>
          <w:sz w:val="24"/>
          <w:szCs w:val="24"/>
        </w:rPr>
      </w:pPr>
    </w:p>
    <w:p w14:paraId="31B5D448" w14:textId="77777777" w:rsidR="00715001" w:rsidRDefault="00715001" w:rsidP="003309E8">
      <w:pPr>
        <w:rPr>
          <w:rFonts w:ascii="Bahnschrift" w:hAnsi="Bahnschrift" w:cs="Times New Roman"/>
          <w:sz w:val="24"/>
          <w:szCs w:val="24"/>
        </w:rPr>
      </w:pPr>
    </w:p>
    <w:p w14:paraId="666811A0" w14:textId="77777777" w:rsidR="00715001" w:rsidRDefault="00715001" w:rsidP="003309E8">
      <w:pPr>
        <w:rPr>
          <w:rFonts w:ascii="Bahnschrift" w:hAnsi="Bahnschrift" w:cs="Times New Roman"/>
          <w:sz w:val="24"/>
          <w:szCs w:val="24"/>
        </w:rPr>
      </w:pPr>
    </w:p>
    <w:p w14:paraId="4A2E4C7B" w14:textId="77777777" w:rsidR="00715001" w:rsidRDefault="00715001" w:rsidP="00731E72">
      <w:pPr>
        <w:rPr>
          <w:rFonts w:ascii="Bahnschrift" w:hAnsi="Bahnschrift" w:cs="Times New Roman"/>
          <w:noProof/>
          <w:sz w:val="24"/>
          <w:szCs w:val="24"/>
          <w:u w:val="single"/>
        </w:rPr>
      </w:pPr>
    </w:p>
    <w:p w14:paraId="3CE8603A" w14:textId="14521487" w:rsidR="00715001" w:rsidRDefault="00715001" w:rsidP="00731E72">
      <w:pPr>
        <w:rPr>
          <w:rFonts w:ascii="Bahnschrift" w:hAnsi="Bahnschrift" w:cs="Times New Roman"/>
          <w:noProof/>
          <w:sz w:val="24"/>
          <w:szCs w:val="24"/>
        </w:rPr>
      </w:pPr>
      <w:r>
        <w:rPr>
          <w:rFonts w:ascii="Bahnschrift" w:hAnsi="Bahnschrift" w:cs="Times New Roman"/>
          <w:b/>
          <w:bCs/>
          <w:noProof/>
          <w:sz w:val="24"/>
          <w:szCs w:val="24"/>
        </w:rPr>
        <w:lastRenderedPageBreak/>
        <w:t>Zajištění bilanční kontinuity, tj. otevření účtů na začátku roku</w:t>
      </w:r>
    </w:p>
    <w:p w14:paraId="56BA1AC9" w14:textId="00B493D8" w:rsidR="00715001" w:rsidRDefault="00715001" w:rsidP="00715001">
      <w:pPr>
        <w:pStyle w:val="Odstavecseseznamem"/>
        <w:numPr>
          <w:ilvl w:val="0"/>
          <w:numId w:val="41"/>
        </w:numPr>
        <w:ind w:left="714" w:hanging="357"/>
        <w:rPr>
          <w:rFonts w:ascii="Bahnschrift" w:hAnsi="Bahnschrift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01C8618" wp14:editId="4D3C3A90">
            <wp:simplePos x="0" y="0"/>
            <wp:positionH relativeFrom="column">
              <wp:posOffset>166370</wp:posOffset>
            </wp:positionH>
            <wp:positionV relativeFrom="paragraph">
              <wp:posOffset>1012190</wp:posOffset>
            </wp:positionV>
            <wp:extent cx="5562600" cy="3221990"/>
            <wp:effectExtent l="0" t="0" r="0" b="0"/>
            <wp:wrapTopAndBottom/>
            <wp:docPr id="112021470" name="Obrázek 3" descr="Projekt: CZ.1.07/1.5.00/ „SŠHL Frýdlant.moderní školy“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: CZ.1.07/1.5.00/ „SŠHL Frýdlant.moderní školy“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13759" r="3550" b="15331"/>
                    <a:stretch/>
                  </pic:blipFill>
                  <pic:spPr bwMode="auto">
                    <a:xfrm>
                      <a:off x="0" y="0"/>
                      <a:ext cx="55626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Times New Roman"/>
          <w:noProof/>
          <w:sz w:val="24"/>
          <w:szCs w:val="24"/>
        </w:rPr>
        <w:t>uzavřením účetních knih za běžný rok jedno účetní období končí, ale současně nové začíná, mezi oběma obdobími je třeba zabezpečit, aby konenčné stavy rozvahových účtů k 31. 12. byly převzaty k 1. 1. následujícího účetního období jako počáteční stavy rozvahových účtů v nově otevíraných účetních knihách</w:t>
      </w:r>
    </w:p>
    <w:p w14:paraId="2D4041D8" w14:textId="52B4E4A6" w:rsidR="00715001" w:rsidRPr="00715001" w:rsidRDefault="00715001" w:rsidP="00715001">
      <w:pPr>
        <w:pStyle w:val="Odstavecseseznamem"/>
        <w:ind w:left="714"/>
        <w:rPr>
          <w:rFonts w:ascii="Bahnschrift" w:hAnsi="Bahnschrift" w:cs="Times New Roman"/>
          <w:noProof/>
          <w:sz w:val="24"/>
          <w:szCs w:val="24"/>
        </w:rPr>
      </w:pPr>
    </w:p>
    <w:p w14:paraId="277BAB2E" w14:textId="77777777" w:rsidR="00715001" w:rsidRDefault="00715001" w:rsidP="00731E72">
      <w:pPr>
        <w:rPr>
          <w:rFonts w:ascii="Bahnschrift" w:hAnsi="Bahnschrift" w:cs="Times New Roman"/>
          <w:noProof/>
          <w:sz w:val="24"/>
          <w:szCs w:val="24"/>
          <w:u w:val="single"/>
        </w:rPr>
      </w:pPr>
    </w:p>
    <w:p w14:paraId="043C9C1B" w14:textId="77777777" w:rsidR="00CD33F3" w:rsidRDefault="00CD33F3">
      <w:pPr>
        <w:rPr>
          <w:rFonts w:ascii="Bahnschrift" w:hAnsi="Bahnschrift" w:cs="Times New Roman"/>
          <w:sz w:val="24"/>
          <w:szCs w:val="24"/>
        </w:rPr>
      </w:pPr>
    </w:p>
    <w:p w14:paraId="6BD00AC7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7D3667A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6108BC7E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16958FDA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D14AAFB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500331D4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5748F96F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83FBCAB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76776863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56A28A37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115DC0D5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32F66BF3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D2F999F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BF21CB8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77CE3ADA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5ADB37E7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3F71DB23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657B1732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2DED15DB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010FC105" w14:textId="77777777" w:rsidR="003A3FB8" w:rsidRDefault="003A3FB8">
      <w:pPr>
        <w:rPr>
          <w:rFonts w:ascii="Bahnschrift" w:hAnsi="Bahnschrift" w:cs="Times New Roman"/>
          <w:sz w:val="24"/>
          <w:szCs w:val="24"/>
        </w:rPr>
      </w:pPr>
    </w:p>
    <w:p w14:paraId="6494D728" w14:textId="77777777" w:rsidR="003A3FB8" w:rsidRPr="00916BFC" w:rsidRDefault="003A3FB8">
      <w:pPr>
        <w:rPr>
          <w:rFonts w:ascii="Bahnschrift" w:hAnsi="Bahnschrift" w:cs="Times New Roman"/>
          <w:sz w:val="24"/>
          <w:szCs w:val="24"/>
        </w:rPr>
      </w:pPr>
    </w:p>
    <w:p w14:paraId="06DF0045" w14:textId="77777777" w:rsidR="00AC602C" w:rsidRPr="00CD33F3" w:rsidRDefault="00AC602C" w:rsidP="00CD33F3">
      <w:pPr>
        <w:rPr>
          <w:rFonts w:ascii="Bahnschrift" w:hAnsi="Bahnschrift" w:cs="Times New Roman"/>
          <w:b/>
          <w:bCs/>
          <w:sz w:val="24"/>
          <w:szCs w:val="24"/>
        </w:rPr>
      </w:pPr>
      <w:r w:rsidRPr="00CD33F3">
        <w:rPr>
          <w:rFonts w:ascii="Bahnschrift" w:hAnsi="Bahnschrift" w:cs="Times New Roman"/>
          <w:b/>
          <w:bCs/>
          <w:sz w:val="24"/>
          <w:szCs w:val="24"/>
        </w:rPr>
        <w:lastRenderedPageBreak/>
        <w:t>Účetní závěrka</w:t>
      </w:r>
    </w:p>
    <w:p w14:paraId="341A11A9" w14:textId="3BE79372" w:rsidR="00AC602C" w:rsidRPr="00CD33F3" w:rsidRDefault="00AC602C" w:rsidP="00CD33F3">
      <w:pPr>
        <w:pStyle w:val="Odstavecseseznamem"/>
        <w:numPr>
          <w:ilvl w:val="0"/>
          <w:numId w:val="33"/>
        </w:numPr>
        <w:ind w:left="624"/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>nejdůležitější část procesu účetnictví</w:t>
      </w:r>
    </w:p>
    <w:p w14:paraId="094B74F9" w14:textId="3CFB43D5" w:rsidR="00B22B30" w:rsidRDefault="00AC602C" w:rsidP="00925F25">
      <w:pPr>
        <w:pStyle w:val="Odstavecseseznamem"/>
        <w:numPr>
          <w:ilvl w:val="2"/>
          <w:numId w:val="33"/>
        </w:numPr>
        <w:ind w:left="624"/>
        <w:rPr>
          <w:rFonts w:ascii="Bahnschrift" w:hAnsi="Bahnschrift" w:cs="Times New Roman"/>
          <w:sz w:val="24"/>
          <w:szCs w:val="24"/>
        </w:rPr>
      </w:pPr>
      <w:r w:rsidRPr="00CD33F3">
        <w:rPr>
          <w:rFonts w:ascii="Bahnschrift" w:hAnsi="Bahnschrift" w:cs="Times New Roman"/>
          <w:sz w:val="24"/>
          <w:szCs w:val="24"/>
        </w:rPr>
        <w:t>účelem je podávat věrný a poctivý obraz o skutečnostech, které jsou předmětem účetnictví a také o finanční situaci účetní jednotky, aby na jejím základě mohli uživatelé činit ekonomická rozhodnutí</w:t>
      </w:r>
    </w:p>
    <w:p w14:paraId="76C6A1B8" w14:textId="77777777" w:rsidR="008E6248" w:rsidRPr="008E6248" w:rsidRDefault="008E6248" w:rsidP="008E6248">
      <w:pPr>
        <w:rPr>
          <w:rFonts w:ascii="Bahnschrift" w:hAnsi="Bahnschrift" w:cs="Times New Roman"/>
          <w:sz w:val="24"/>
          <w:szCs w:val="24"/>
        </w:rPr>
      </w:pPr>
    </w:p>
    <w:p w14:paraId="4305C4C7" w14:textId="46582635" w:rsidR="00B22B30" w:rsidRPr="008E6248" w:rsidRDefault="00B22B30" w:rsidP="008E6248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theme="minorHAnsi"/>
          <w:b/>
          <w:bCs/>
          <w:sz w:val="24"/>
          <w:szCs w:val="24"/>
        </w:rPr>
        <w:t>Druhy účetní závěrky</w:t>
      </w:r>
    </w:p>
    <w:p w14:paraId="4F5AEC0C" w14:textId="77777777" w:rsidR="00B22B30" w:rsidRPr="00916BFC" w:rsidRDefault="00B22B30" w:rsidP="00B22B30">
      <w:pPr>
        <w:pStyle w:val="Odstavecseseznamem"/>
        <w:numPr>
          <w:ilvl w:val="0"/>
          <w:numId w:val="21"/>
        </w:numPr>
        <w:spacing w:line="259" w:lineRule="auto"/>
        <w:rPr>
          <w:rFonts w:ascii="Bahnschrift" w:hAnsi="Bahnschrift" w:cstheme="minorHAnsi"/>
          <w:sz w:val="24"/>
          <w:szCs w:val="24"/>
        </w:rPr>
      </w:pPr>
      <w:r w:rsidRPr="000F0DD6">
        <w:rPr>
          <w:rFonts w:ascii="Bahnschrift" w:hAnsi="Bahnschrift" w:cstheme="minorHAnsi"/>
          <w:b/>
          <w:bCs/>
          <w:sz w:val="24"/>
          <w:szCs w:val="24"/>
        </w:rPr>
        <w:t>Řádná účetní závěrka</w:t>
      </w:r>
      <w:r w:rsidRPr="00916BFC">
        <w:rPr>
          <w:rFonts w:ascii="Bahnschrift" w:hAnsi="Bahnschrift" w:cstheme="minorHAnsi"/>
          <w:sz w:val="24"/>
          <w:szCs w:val="24"/>
        </w:rPr>
        <w:t xml:space="preserve"> – sestavuje se k rozvahovému dni (poslední den účetního období)</w:t>
      </w:r>
    </w:p>
    <w:p w14:paraId="6E1E5575" w14:textId="747477D6" w:rsidR="00B22B30" w:rsidRPr="00916BFC" w:rsidRDefault="00B22B30" w:rsidP="00B22B30">
      <w:pPr>
        <w:pStyle w:val="Odstavecseseznamem"/>
        <w:numPr>
          <w:ilvl w:val="0"/>
          <w:numId w:val="21"/>
        </w:numPr>
        <w:spacing w:line="259" w:lineRule="auto"/>
        <w:rPr>
          <w:rFonts w:ascii="Bahnschrift" w:hAnsi="Bahnschrift" w:cstheme="minorHAnsi"/>
          <w:sz w:val="24"/>
          <w:szCs w:val="24"/>
        </w:rPr>
      </w:pPr>
      <w:r w:rsidRPr="000F0DD6">
        <w:rPr>
          <w:rFonts w:ascii="Bahnschrift" w:hAnsi="Bahnschrift" w:cstheme="minorHAnsi"/>
          <w:b/>
          <w:bCs/>
          <w:sz w:val="24"/>
          <w:szCs w:val="24"/>
        </w:rPr>
        <w:t>Mimořádná účetní závěrka</w:t>
      </w:r>
      <w:r w:rsidRPr="00916BFC">
        <w:rPr>
          <w:rFonts w:ascii="Bahnschrift" w:hAnsi="Bahnschrift" w:cstheme="minorHAnsi"/>
          <w:sz w:val="24"/>
          <w:szCs w:val="24"/>
        </w:rPr>
        <w:t xml:space="preserve"> – sestavuje se v mimořádných situacích např. zrušení účetní jednotky bez likvidace</w:t>
      </w:r>
      <w:r w:rsidR="000F0DD6" w:rsidRPr="000F0DD6">
        <w:rPr>
          <w:rFonts w:ascii="Bahnschrift" w:hAnsi="Bahnschrift" w:cs="Times New Roman"/>
          <w:sz w:val="24"/>
          <w:szCs w:val="24"/>
        </w:rPr>
        <w:t xml:space="preserve"> </w:t>
      </w:r>
      <w:r w:rsidR="000F0DD6" w:rsidRPr="00916BFC">
        <w:rPr>
          <w:rFonts w:ascii="Bahnschrift" w:hAnsi="Bahnschrift" w:cs="Times New Roman"/>
          <w:sz w:val="24"/>
          <w:szCs w:val="24"/>
        </w:rPr>
        <w:t>ke dni, který předchází vstupu firmy do likvidace nebo do insolvenčního řízení)</w:t>
      </w:r>
    </w:p>
    <w:p w14:paraId="1CC16630" w14:textId="06EC3399" w:rsidR="00B22B30" w:rsidRDefault="00B22B30" w:rsidP="00B22B30">
      <w:pPr>
        <w:pStyle w:val="Odstavecseseznamem"/>
        <w:numPr>
          <w:ilvl w:val="0"/>
          <w:numId w:val="21"/>
        </w:numPr>
        <w:spacing w:line="259" w:lineRule="auto"/>
        <w:rPr>
          <w:rFonts w:ascii="Bahnschrift" w:hAnsi="Bahnschrift" w:cstheme="minorHAnsi"/>
          <w:sz w:val="24"/>
          <w:szCs w:val="24"/>
        </w:rPr>
      </w:pPr>
      <w:r w:rsidRPr="000F0DD6">
        <w:rPr>
          <w:rFonts w:ascii="Bahnschrift" w:hAnsi="Bahnschrift" w:cstheme="minorHAnsi"/>
          <w:b/>
          <w:bCs/>
          <w:sz w:val="24"/>
          <w:szCs w:val="24"/>
        </w:rPr>
        <w:t>Mezit</w:t>
      </w:r>
      <w:r w:rsidR="000F0DD6">
        <w:rPr>
          <w:rFonts w:ascii="Bahnschrift" w:hAnsi="Bahnschrift" w:cstheme="minorHAnsi"/>
          <w:b/>
          <w:bCs/>
          <w:sz w:val="24"/>
          <w:szCs w:val="24"/>
        </w:rPr>
        <w:t>í</w:t>
      </w:r>
      <w:r w:rsidRPr="000F0DD6">
        <w:rPr>
          <w:rFonts w:ascii="Bahnschrift" w:hAnsi="Bahnschrift" w:cstheme="minorHAnsi"/>
          <w:b/>
          <w:bCs/>
          <w:sz w:val="24"/>
          <w:szCs w:val="24"/>
        </w:rPr>
        <w:t>mní účetní závěrka</w:t>
      </w:r>
      <w:r w:rsidRPr="00916BFC">
        <w:rPr>
          <w:rFonts w:ascii="Bahnschrift" w:hAnsi="Bahnschrift" w:cstheme="minorHAnsi"/>
          <w:sz w:val="24"/>
          <w:szCs w:val="24"/>
        </w:rPr>
        <w:t xml:space="preserve"> – sestavuje se na vyžádání zvláštních právních předpisů (i během účetního období), účetní knihy se neuzavírají a inventarizace</w:t>
      </w:r>
      <w:r w:rsidR="00CD33F3">
        <w:rPr>
          <w:rFonts w:ascii="Bahnschrift" w:hAnsi="Bahnschrift" w:cstheme="minorHAnsi"/>
          <w:sz w:val="24"/>
          <w:szCs w:val="24"/>
        </w:rPr>
        <w:t xml:space="preserve"> </w:t>
      </w:r>
      <w:r w:rsidRPr="00916BFC">
        <w:rPr>
          <w:rFonts w:ascii="Bahnschrift" w:hAnsi="Bahnschrift" w:cstheme="minorHAnsi"/>
          <w:sz w:val="24"/>
          <w:szCs w:val="24"/>
        </w:rPr>
        <w:t>jen za účelem ocenění</w:t>
      </w:r>
    </w:p>
    <w:p w14:paraId="7FD5D3BD" w14:textId="77777777" w:rsidR="00925F25" w:rsidRPr="00925F25" w:rsidRDefault="00925F25" w:rsidP="00925F25">
      <w:pPr>
        <w:spacing w:line="259" w:lineRule="auto"/>
        <w:rPr>
          <w:rFonts w:ascii="Bahnschrift" w:hAnsi="Bahnschrift" w:cstheme="minorHAnsi"/>
          <w:sz w:val="24"/>
          <w:szCs w:val="24"/>
        </w:rPr>
      </w:pPr>
    </w:p>
    <w:p w14:paraId="0E66127B" w14:textId="77777777" w:rsidR="00925F25" w:rsidRPr="00925F25" w:rsidRDefault="00925F25" w:rsidP="00925F25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</w:rPr>
      </w:pPr>
      <w:r w:rsidRPr="00925F25">
        <w:rPr>
          <w:rFonts w:ascii="Bahnschrift" w:hAnsi="Bahnschrift" w:cs="Times New Roman"/>
          <w:b/>
          <w:sz w:val="24"/>
          <w:szCs w:val="24"/>
        </w:rPr>
        <w:t>Obsah a struktura účetních výkazů</w:t>
      </w:r>
    </w:p>
    <w:p w14:paraId="7CDFB2D3" w14:textId="512D6340" w:rsidR="00925F25" w:rsidRPr="00925F25" w:rsidRDefault="00925F25" w:rsidP="00925F25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sz w:val="24"/>
          <w:szCs w:val="24"/>
        </w:rPr>
        <w:t xml:space="preserve">      </w:t>
      </w:r>
      <w:r w:rsidRPr="00925F25">
        <w:rPr>
          <w:rFonts w:ascii="Bahnschrift" w:hAnsi="Bahnschrift" w:cs="Times New Roman"/>
          <w:sz w:val="24"/>
          <w:szCs w:val="24"/>
        </w:rPr>
        <w:t>1. Rozvaha</w:t>
      </w:r>
    </w:p>
    <w:p w14:paraId="2CDC470F" w14:textId="77777777" w:rsidR="00925F25" w:rsidRPr="00925F25" w:rsidRDefault="00925F25" w:rsidP="00925F25">
      <w:pPr>
        <w:tabs>
          <w:tab w:val="left" w:pos="3119"/>
        </w:tabs>
        <w:ind w:left="360"/>
        <w:rPr>
          <w:rFonts w:ascii="Bahnschrift" w:hAnsi="Bahnschrift" w:cs="Times New Roman"/>
          <w:sz w:val="24"/>
          <w:szCs w:val="24"/>
        </w:rPr>
      </w:pPr>
      <w:r w:rsidRPr="00925F25">
        <w:rPr>
          <w:rFonts w:ascii="Bahnschrift" w:hAnsi="Bahnschrift" w:cs="Times New Roman"/>
          <w:sz w:val="24"/>
          <w:szCs w:val="24"/>
        </w:rPr>
        <w:t>2. Výkaz zisku a ztráty</w:t>
      </w:r>
    </w:p>
    <w:p w14:paraId="199ECE69" w14:textId="77777777" w:rsidR="00925F25" w:rsidRPr="00925F25" w:rsidRDefault="00925F25" w:rsidP="00925F25">
      <w:pPr>
        <w:tabs>
          <w:tab w:val="left" w:pos="3119"/>
        </w:tabs>
        <w:ind w:left="360"/>
        <w:rPr>
          <w:rFonts w:ascii="Bahnschrift" w:hAnsi="Bahnschrift" w:cs="Times New Roman"/>
          <w:sz w:val="24"/>
          <w:szCs w:val="24"/>
        </w:rPr>
      </w:pPr>
      <w:r w:rsidRPr="00925F25">
        <w:rPr>
          <w:rFonts w:ascii="Bahnschrift" w:hAnsi="Bahnschrift" w:cs="Times New Roman"/>
          <w:sz w:val="24"/>
          <w:szCs w:val="24"/>
        </w:rPr>
        <w:t>3. Příloha</w:t>
      </w:r>
    </w:p>
    <w:p w14:paraId="7C616250" w14:textId="77777777" w:rsidR="00925F25" w:rsidRPr="00925F25" w:rsidRDefault="00925F25" w:rsidP="00925F25">
      <w:pPr>
        <w:tabs>
          <w:tab w:val="left" w:pos="3119"/>
        </w:tabs>
        <w:ind w:left="360"/>
        <w:rPr>
          <w:rFonts w:ascii="Bahnschrift" w:hAnsi="Bahnschrift" w:cs="Times New Roman"/>
          <w:sz w:val="24"/>
          <w:szCs w:val="24"/>
        </w:rPr>
      </w:pPr>
      <w:r w:rsidRPr="00925F25">
        <w:rPr>
          <w:rFonts w:ascii="Bahnschrift" w:hAnsi="Bahnschrift" w:cs="Times New Roman"/>
          <w:sz w:val="24"/>
          <w:szCs w:val="24"/>
        </w:rPr>
        <w:t xml:space="preserve">4. Přehled o peněžních tocích – Cash </w:t>
      </w:r>
      <w:proofErr w:type="spellStart"/>
      <w:r w:rsidRPr="00925F25">
        <w:rPr>
          <w:rFonts w:ascii="Bahnschrift" w:hAnsi="Bahnschrift" w:cs="Times New Roman"/>
          <w:sz w:val="24"/>
          <w:szCs w:val="24"/>
        </w:rPr>
        <w:t>Flow</w:t>
      </w:r>
      <w:proofErr w:type="spellEnd"/>
      <w:r w:rsidRPr="00925F25">
        <w:rPr>
          <w:rFonts w:ascii="Bahnschrift" w:hAnsi="Bahnschrift" w:cs="Times New Roman"/>
          <w:sz w:val="24"/>
          <w:szCs w:val="24"/>
        </w:rPr>
        <w:t xml:space="preserve"> </w:t>
      </w:r>
    </w:p>
    <w:p w14:paraId="3F05A4E7" w14:textId="77777777" w:rsidR="00925F25" w:rsidRPr="00925F25" w:rsidRDefault="00925F25" w:rsidP="00925F25">
      <w:pPr>
        <w:tabs>
          <w:tab w:val="left" w:pos="3119"/>
        </w:tabs>
        <w:ind w:left="360"/>
        <w:rPr>
          <w:rFonts w:ascii="Bahnschrift" w:hAnsi="Bahnschrift" w:cs="Times New Roman"/>
          <w:b/>
          <w:sz w:val="24"/>
          <w:szCs w:val="24"/>
        </w:rPr>
      </w:pPr>
      <w:r w:rsidRPr="00925F25">
        <w:rPr>
          <w:rFonts w:ascii="Bahnschrift" w:hAnsi="Bahnschrift" w:cs="Times New Roman"/>
          <w:sz w:val="24"/>
          <w:szCs w:val="24"/>
        </w:rPr>
        <w:t xml:space="preserve">5. Přehled o změnách vlastního kapitálu </w:t>
      </w:r>
      <w:r w:rsidRPr="00925F25">
        <w:rPr>
          <w:rFonts w:ascii="Bahnschrift" w:hAnsi="Bahnschrift" w:cs="Times New Roman"/>
          <w:b/>
          <w:sz w:val="24"/>
          <w:szCs w:val="24"/>
        </w:rPr>
        <w:t xml:space="preserve"> </w:t>
      </w:r>
    </w:p>
    <w:p w14:paraId="245DE336" w14:textId="77777777" w:rsidR="00B22B30" w:rsidRPr="00916BFC" w:rsidRDefault="00B22B30" w:rsidP="00AC602C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</w:rPr>
      </w:pPr>
    </w:p>
    <w:p w14:paraId="2F77B0E4" w14:textId="77777777" w:rsidR="00D866FA" w:rsidRPr="00916BFC" w:rsidRDefault="00D866FA" w:rsidP="00AC602C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  <w:u w:val="single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t>1. Rozvaha</w:t>
      </w:r>
    </w:p>
    <w:p w14:paraId="10540028" w14:textId="6ADE7B03" w:rsidR="001E5333" w:rsidRDefault="007818CD" w:rsidP="0077018E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= základním zdrojem informací o celkovém stavu a struktuře majetku účetní jednotky</w:t>
      </w:r>
    </w:p>
    <w:p w14:paraId="5BAA3314" w14:textId="77777777" w:rsidR="0077018E" w:rsidRPr="00916BFC" w:rsidRDefault="0077018E" w:rsidP="0077018E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</w:p>
    <w:p w14:paraId="0196C14C" w14:textId="77777777" w:rsidR="001D0C74" w:rsidRPr="00916BFC" w:rsidRDefault="001D0C74" w:rsidP="001D0C74">
      <w:pPr>
        <w:tabs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 xml:space="preserve">a) </w:t>
      </w:r>
      <w:r w:rsidRPr="00916BFC">
        <w:rPr>
          <w:rFonts w:ascii="Bahnschrift" w:hAnsi="Bahnschrift" w:cs="Times New Roman"/>
          <w:sz w:val="24"/>
          <w:szCs w:val="24"/>
          <w:u w:val="single"/>
        </w:rPr>
        <w:t>Rozvaha v plném rozsahu</w:t>
      </w:r>
    </w:p>
    <w:p w14:paraId="0F822E05" w14:textId="6617732F" w:rsidR="001D0C74" w:rsidRPr="0077018E" w:rsidRDefault="001D0C74" w:rsidP="0077018E">
      <w:pPr>
        <w:pStyle w:val="Odstavecseseznamem"/>
        <w:numPr>
          <w:ilvl w:val="2"/>
          <w:numId w:val="43"/>
        </w:num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jednotlivé položky aktiv a pasiv jsou označeny velkými písmeny, římskými a arabskými číslicemi</w:t>
      </w:r>
    </w:p>
    <w:p w14:paraId="102C2C25" w14:textId="2E40FC9A" w:rsidR="001D0C74" w:rsidRPr="0077018E" w:rsidRDefault="001D0C74" w:rsidP="0077018E">
      <w:pPr>
        <w:pStyle w:val="Odstavecseseznamem"/>
        <w:numPr>
          <w:ilvl w:val="2"/>
          <w:numId w:val="43"/>
        </w:num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velké a střední účetní jednotky</w:t>
      </w:r>
    </w:p>
    <w:p w14:paraId="09A63A82" w14:textId="028BE13B" w:rsidR="001D0C74" w:rsidRPr="0077018E" w:rsidRDefault="001D0C74" w:rsidP="0077018E">
      <w:pPr>
        <w:pStyle w:val="Odstavecseseznamem"/>
        <w:numPr>
          <w:ilvl w:val="2"/>
          <w:numId w:val="43"/>
        </w:num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malé a mikro s povinností auditu</w:t>
      </w:r>
    </w:p>
    <w:p w14:paraId="491F4BC1" w14:textId="77777777" w:rsidR="001D0C74" w:rsidRPr="00916BFC" w:rsidRDefault="001D0C74" w:rsidP="001D0C74">
      <w:p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 xml:space="preserve">b) </w:t>
      </w:r>
      <w:r w:rsidRPr="00916BFC">
        <w:rPr>
          <w:rFonts w:ascii="Bahnschrift" w:hAnsi="Bahnschrift" w:cs="Times New Roman"/>
          <w:sz w:val="24"/>
          <w:szCs w:val="24"/>
          <w:u w:val="single"/>
        </w:rPr>
        <w:t>Rozvaha ve zkráceném rozsahu</w:t>
      </w:r>
    </w:p>
    <w:p w14:paraId="50AA07FC" w14:textId="5FE916AD" w:rsidR="001D0C74" w:rsidRPr="0077018E" w:rsidRDefault="001D0C74" w:rsidP="0077018E">
      <w:pPr>
        <w:pStyle w:val="Odstavecseseznamem"/>
        <w:numPr>
          <w:ilvl w:val="2"/>
          <w:numId w:val="45"/>
        </w:num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rozšířená – malé bez povinnosti auditu</w:t>
      </w:r>
    </w:p>
    <w:p w14:paraId="1B161A0E" w14:textId="68183AF6" w:rsidR="00B22B30" w:rsidRPr="0077018E" w:rsidRDefault="001D0C74" w:rsidP="0077018E">
      <w:pPr>
        <w:pStyle w:val="Odstavecseseznamem"/>
        <w:numPr>
          <w:ilvl w:val="2"/>
          <w:numId w:val="45"/>
        </w:numPr>
        <w:tabs>
          <w:tab w:val="left" w:pos="284"/>
          <w:tab w:val="left" w:pos="851"/>
          <w:tab w:val="left" w:pos="1701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základní – mikro bez povinnosti auditu</w:t>
      </w:r>
    </w:p>
    <w:p w14:paraId="2EB3D80E" w14:textId="77777777" w:rsidR="00B22B30" w:rsidRPr="00916BFC" w:rsidRDefault="00B22B30" w:rsidP="00366C9F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  <w:u w:val="single"/>
        </w:rPr>
      </w:pPr>
    </w:p>
    <w:p w14:paraId="6A9E4EFF" w14:textId="2C4002B0" w:rsidR="00366C9F" w:rsidRPr="00916BFC" w:rsidRDefault="006B6BC7" w:rsidP="00366C9F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  <w:u w:val="single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t>2</w:t>
      </w:r>
      <w:r w:rsidR="00366C9F" w:rsidRPr="00916BFC">
        <w:rPr>
          <w:rFonts w:ascii="Bahnschrift" w:hAnsi="Bahnschrift" w:cs="Times New Roman"/>
          <w:b/>
          <w:sz w:val="24"/>
          <w:szCs w:val="24"/>
          <w:u w:val="single"/>
        </w:rPr>
        <w:t>. Výkaz zisku a ztráty</w:t>
      </w:r>
    </w:p>
    <w:p w14:paraId="56497456" w14:textId="77777777" w:rsidR="00366C9F" w:rsidRPr="00916BFC" w:rsidRDefault="00366C9F" w:rsidP="00366C9F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= poskytuje informace o nákladech, výnosech a výsledku hospodaření</w:t>
      </w:r>
    </w:p>
    <w:p w14:paraId="5B00F011" w14:textId="6B8E2981" w:rsidR="001E5333" w:rsidRPr="0077018E" w:rsidRDefault="0077018E" w:rsidP="0077018E">
      <w:pPr>
        <w:pStyle w:val="Odstavecseseznamem"/>
        <w:numPr>
          <w:ilvl w:val="2"/>
          <w:numId w:val="47"/>
        </w:num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v</w:t>
      </w:r>
      <w:r w:rsidR="001E5333" w:rsidRPr="0077018E">
        <w:rPr>
          <w:rFonts w:ascii="Bahnschrift" w:hAnsi="Bahnschrift" w:cs="Times New Roman"/>
          <w:sz w:val="24"/>
          <w:szCs w:val="24"/>
        </w:rPr>
        <w:t>ýkaz je uspořádán stupňovitě tak, aby umožnil vyčíslit:</w:t>
      </w:r>
    </w:p>
    <w:p w14:paraId="4E069A6F" w14:textId="66BD8189" w:rsidR="001E5333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provozní výsledek hospodaření</w:t>
      </w:r>
    </w:p>
    <w:p w14:paraId="6E5F817E" w14:textId="306E2B4C" w:rsidR="001E5333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finanční výsledek hospodaření</w:t>
      </w:r>
    </w:p>
    <w:p w14:paraId="60F7B190" w14:textId="04FCB7E5" w:rsidR="001E5333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výsledek hospodaření před zdaněním</w:t>
      </w:r>
    </w:p>
    <w:p w14:paraId="1963C5A5" w14:textId="389C92B8" w:rsidR="001E5333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výsledek hospodaření po zdanění</w:t>
      </w:r>
    </w:p>
    <w:p w14:paraId="23A206BC" w14:textId="7BF23037" w:rsidR="001E5333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výsledek hospodaření za účetní období</w:t>
      </w:r>
    </w:p>
    <w:p w14:paraId="6533DE0A" w14:textId="10300D93" w:rsidR="00C04112" w:rsidRPr="0077018E" w:rsidRDefault="001E5333" w:rsidP="0077018E">
      <w:pPr>
        <w:pStyle w:val="Odstavecseseznamem"/>
        <w:numPr>
          <w:ilvl w:val="0"/>
          <w:numId w:val="48"/>
        </w:numPr>
        <w:tabs>
          <w:tab w:val="left" w:pos="1134"/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="Times New Roman"/>
          <w:sz w:val="24"/>
          <w:szCs w:val="24"/>
        </w:rPr>
        <w:t>čistý obrat za účetní období</w:t>
      </w:r>
    </w:p>
    <w:p w14:paraId="73F0EDB4" w14:textId="72DEB37B" w:rsidR="006B6BC7" w:rsidRPr="00E046FE" w:rsidRDefault="00B22B30" w:rsidP="00E046FE">
      <w:pPr>
        <w:pStyle w:val="Odstavecseseznamem"/>
        <w:numPr>
          <w:ilvl w:val="2"/>
          <w:numId w:val="47"/>
        </w:numPr>
        <w:rPr>
          <w:rFonts w:ascii="Bahnschrift" w:hAnsi="Bahnschrift" w:cs="Times New Roman"/>
          <w:sz w:val="24"/>
          <w:szCs w:val="24"/>
        </w:rPr>
      </w:pPr>
      <w:r w:rsidRPr="0077018E">
        <w:rPr>
          <w:rFonts w:ascii="Bahnschrift" w:hAnsi="Bahnschrift" w:cstheme="minorHAnsi"/>
          <w:sz w:val="24"/>
          <w:szCs w:val="24"/>
        </w:rPr>
        <w:t>ukončen ukazatelem čistého obratu = součet jednotlivých položek výnosů</w:t>
      </w:r>
      <w:r w:rsidRPr="0077018E">
        <w:rPr>
          <w:rFonts w:ascii="Bahnschrift" w:hAnsi="Bahnschrift" w:cstheme="minorHAnsi"/>
          <w:sz w:val="24"/>
          <w:szCs w:val="24"/>
        </w:rPr>
        <w:tab/>
      </w:r>
    </w:p>
    <w:p w14:paraId="7CDC0255" w14:textId="77777777" w:rsidR="006B6BC7" w:rsidRPr="00916BFC" w:rsidRDefault="006B6BC7" w:rsidP="006B6BC7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  <w:u w:val="single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lastRenderedPageBreak/>
        <w:t>3. Příloha</w:t>
      </w:r>
    </w:p>
    <w:p w14:paraId="1F525F1B" w14:textId="77777777" w:rsidR="006B6BC7" w:rsidRPr="00916BFC" w:rsidRDefault="006B6BC7" w:rsidP="00E046FE">
      <w:pPr>
        <w:pStyle w:val="Odstavecseseznamem"/>
        <w:numPr>
          <w:ilvl w:val="0"/>
          <w:numId w:val="49"/>
        </w:num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příloha má stanovený pouze obsah</w:t>
      </w:r>
    </w:p>
    <w:p w14:paraId="36175BC3" w14:textId="77777777" w:rsidR="006B6BC7" w:rsidRPr="00916BFC" w:rsidRDefault="006B6BC7" w:rsidP="00E046FE">
      <w:pPr>
        <w:pStyle w:val="Odstavecseseznamem"/>
        <w:numPr>
          <w:ilvl w:val="0"/>
          <w:numId w:val="49"/>
        </w:num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má za úkol vysvětlit a doplnit informace obsažené v rozvaze a výkazu zisku a ztráty</w:t>
      </w:r>
    </w:p>
    <w:p w14:paraId="39281039" w14:textId="77777777" w:rsidR="006B6BC7" w:rsidRPr="00916BFC" w:rsidRDefault="006B6BC7" w:rsidP="00E046FE">
      <w:pPr>
        <w:pStyle w:val="Odstavecseseznamem"/>
        <w:numPr>
          <w:ilvl w:val="0"/>
          <w:numId w:val="49"/>
        </w:num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 xml:space="preserve">obsah je stanoven v §39 vyhlášky </w:t>
      </w:r>
      <w:r w:rsidRPr="00916BFC">
        <w:rPr>
          <w:rFonts w:ascii="Bahnschrift" w:hAnsi="Bahnschrift" w:cs="Times New Roman"/>
          <w:sz w:val="24"/>
          <w:szCs w:val="24"/>
        </w:rPr>
        <w:sym w:font="Symbol" w:char="F0AE"/>
      </w:r>
      <w:r w:rsidRPr="00916BFC">
        <w:rPr>
          <w:rFonts w:ascii="Bahnschrift" w:hAnsi="Bahnschrift" w:cs="Times New Roman"/>
          <w:sz w:val="24"/>
          <w:szCs w:val="24"/>
        </w:rPr>
        <w:t xml:space="preserve"> tato část je povinná pro všechny kategorie</w:t>
      </w:r>
    </w:p>
    <w:p w14:paraId="51032004" w14:textId="77777777" w:rsidR="006B6BC7" w:rsidRPr="00E046FE" w:rsidRDefault="006B6BC7" w:rsidP="00E046FE">
      <w:pPr>
        <w:pStyle w:val="Odstavecseseznamem"/>
        <w:numPr>
          <w:ilvl w:val="0"/>
          <w:numId w:val="49"/>
        </w:num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E046FE">
        <w:rPr>
          <w:rFonts w:ascii="Bahnschrift" w:hAnsi="Bahnschrift" w:cs="Times New Roman"/>
          <w:sz w:val="24"/>
          <w:szCs w:val="24"/>
        </w:rPr>
        <w:t>obsahuje:</w:t>
      </w:r>
    </w:p>
    <w:p w14:paraId="6BE53823" w14:textId="2F6B5B1D" w:rsidR="006B6BC7" w:rsidRPr="00290C0C" w:rsidRDefault="006B6BC7" w:rsidP="00290C0C">
      <w:pPr>
        <w:pStyle w:val="Odstavecseseznamem"/>
        <w:numPr>
          <w:ilvl w:val="1"/>
          <w:numId w:val="10"/>
        </w:numPr>
        <w:tabs>
          <w:tab w:val="left" w:pos="3119"/>
        </w:tabs>
        <w:ind w:left="709" w:hanging="283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obecné údaje o účetní jednotce</w:t>
      </w:r>
      <w:r w:rsidR="00290C0C">
        <w:rPr>
          <w:rFonts w:ascii="Bahnschrift" w:hAnsi="Bahnschrift" w:cs="Times New Roman"/>
          <w:sz w:val="24"/>
          <w:szCs w:val="24"/>
        </w:rPr>
        <w:t xml:space="preserve"> (</w:t>
      </w:r>
      <w:r w:rsidRPr="00290C0C">
        <w:rPr>
          <w:rFonts w:ascii="Bahnschrift" w:hAnsi="Bahnschrift" w:cs="Times New Roman"/>
          <w:sz w:val="24"/>
          <w:szCs w:val="24"/>
        </w:rPr>
        <w:t>popis účetní jednotky</w:t>
      </w:r>
      <w:r w:rsidR="00290C0C">
        <w:rPr>
          <w:rFonts w:ascii="Bahnschrift" w:hAnsi="Bahnschrift" w:cs="Times New Roman"/>
          <w:sz w:val="24"/>
          <w:szCs w:val="24"/>
        </w:rPr>
        <w:t xml:space="preserve">, </w:t>
      </w:r>
      <w:r w:rsidRPr="00290C0C">
        <w:rPr>
          <w:rFonts w:ascii="Bahnschrift" w:hAnsi="Bahnschrift" w:cs="Times New Roman"/>
          <w:sz w:val="24"/>
          <w:szCs w:val="24"/>
        </w:rPr>
        <w:t>předmět podnikání</w:t>
      </w:r>
      <w:r w:rsidR="00290C0C">
        <w:rPr>
          <w:rFonts w:ascii="Bahnschrift" w:hAnsi="Bahnschrift" w:cs="Times New Roman"/>
          <w:sz w:val="24"/>
          <w:szCs w:val="24"/>
        </w:rPr>
        <w:t xml:space="preserve">, </w:t>
      </w:r>
      <w:r w:rsidRPr="00290C0C">
        <w:rPr>
          <w:rFonts w:ascii="Bahnschrift" w:hAnsi="Bahnschrift" w:cs="Times New Roman"/>
          <w:sz w:val="24"/>
          <w:szCs w:val="24"/>
        </w:rPr>
        <w:t>rozvahový den</w:t>
      </w:r>
      <w:r w:rsidR="00290C0C">
        <w:rPr>
          <w:rFonts w:ascii="Bahnschrift" w:hAnsi="Bahnschrift" w:cs="Times New Roman"/>
          <w:sz w:val="24"/>
          <w:szCs w:val="24"/>
        </w:rPr>
        <w:t xml:space="preserve">, </w:t>
      </w:r>
      <w:r w:rsidRPr="00290C0C">
        <w:rPr>
          <w:rFonts w:ascii="Bahnschrift" w:hAnsi="Bahnschrift" w:cs="Times New Roman"/>
          <w:sz w:val="24"/>
          <w:szCs w:val="24"/>
        </w:rPr>
        <w:t>okamžik sestavení účetní závěrky</w:t>
      </w:r>
      <w:r w:rsidR="00290C0C">
        <w:rPr>
          <w:rFonts w:ascii="Bahnschrift" w:hAnsi="Bahnschrift" w:cs="Times New Roman"/>
          <w:sz w:val="24"/>
          <w:szCs w:val="24"/>
        </w:rPr>
        <w:t>)</w:t>
      </w:r>
    </w:p>
    <w:p w14:paraId="53A78FDF" w14:textId="77777777" w:rsidR="006B6BC7" w:rsidRPr="00916BFC" w:rsidRDefault="006B6BC7" w:rsidP="006B6BC7">
      <w:pPr>
        <w:pStyle w:val="Odstavecseseznamem"/>
        <w:numPr>
          <w:ilvl w:val="1"/>
          <w:numId w:val="10"/>
        </w:numPr>
        <w:tabs>
          <w:tab w:val="left" w:pos="3119"/>
        </w:tabs>
        <w:ind w:left="709" w:hanging="283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informace o účetních metodách a obecných účetních zásadách</w:t>
      </w:r>
    </w:p>
    <w:p w14:paraId="5E475346" w14:textId="77777777" w:rsidR="006B6BC7" w:rsidRPr="00916BFC" w:rsidRDefault="006B6BC7" w:rsidP="006B6BC7">
      <w:pPr>
        <w:pStyle w:val="Odstavecseseznamem"/>
        <w:numPr>
          <w:ilvl w:val="1"/>
          <w:numId w:val="10"/>
        </w:numPr>
        <w:tabs>
          <w:tab w:val="left" w:pos="3119"/>
        </w:tabs>
        <w:ind w:left="709" w:hanging="283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doplňující informace k rozvaze a k výkazu zisku a ztráty</w:t>
      </w:r>
    </w:p>
    <w:p w14:paraId="71528888" w14:textId="77777777" w:rsidR="006B6BC7" w:rsidRPr="00916BFC" w:rsidRDefault="006B6BC7" w:rsidP="006B6BC7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</w:p>
    <w:p w14:paraId="064CBD06" w14:textId="77777777" w:rsidR="006B6BC7" w:rsidRPr="00916BFC" w:rsidRDefault="006B6BC7" w:rsidP="006B6BC7">
      <w:pPr>
        <w:tabs>
          <w:tab w:val="left" w:pos="3119"/>
        </w:tabs>
        <w:rPr>
          <w:rFonts w:ascii="Bahnschrift" w:hAnsi="Bahnschrift" w:cs="Times New Roman"/>
          <w:b/>
          <w:sz w:val="24"/>
          <w:szCs w:val="24"/>
          <w:u w:val="single"/>
        </w:rPr>
      </w:pPr>
      <w:r w:rsidRPr="00916BFC">
        <w:rPr>
          <w:rFonts w:ascii="Bahnschrift" w:hAnsi="Bahnschrift" w:cs="Times New Roman"/>
          <w:b/>
          <w:sz w:val="24"/>
          <w:szCs w:val="24"/>
          <w:u w:val="single"/>
        </w:rPr>
        <w:t>4. Přehled o peněžních tocích – Cash Flow</w:t>
      </w:r>
    </w:p>
    <w:p w14:paraId="48FC4D25" w14:textId="77777777" w:rsidR="006B6BC7" w:rsidRPr="00916BFC" w:rsidRDefault="00B00B62" w:rsidP="006B6BC7">
      <w:pPr>
        <w:tabs>
          <w:tab w:val="left" w:pos="3119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= přehled o peněžních tocích ve firmě, který může být stanoven přímou a nepřímou metodou</w:t>
      </w:r>
    </w:p>
    <w:tbl>
      <w:tblPr>
        <w:tblStyle w:val="Mkatabulky"/>
        <w:tblpPr w:leftFromText="141" w:rightFromText="141" w:vertAnchor="text" w:horzAnchor="margin" w:tblpXSpec="right" w:tblpY="-39"/>
        <w:tblW w:w="0" w:type="auto"/>
        <w:tblLook w:val="04A0" w:firstRow="1" w:lastRow="0" w:firstColumn="1" w:lastColumn="0" w:noHBand="0" w:noVBand="1"/>
      </w:tblPr>
      <w:tblGrid>
        <w:gridCol w:w="1593"/>
        <w:gridCol w:w="1701"/>
      </w:tblGrid>
      <w:tr w:rsidR="00290C0C" w:rsidRPr="00916BFC" w14:paraId="7562DCE8" w14:textId="77777777" w:rsidTr="00290C0C">
        <w:trPr>
          <w:trHeight w:val="113"/>
        </w:trPr>
        <w:tc>
          <w:tcPr>
            <w:tcW w:w="1593" w:type="dxa"/>
            <w:vAlign w:val="center"/>
          </w:tcPr>
          <w:p w14:paraId="1875B99B" w14:textId="77777777" w:rsidR="00290C0C" w:rsidRPr="00916BFC" w:rsidRDefault="00290C0C" w:rsidP="00290C0C">
            <w:pPr>
              <w:tabs>
                <w:tab w:val="left" w:pos="1985"/>
              </w:tabs>
              <w:jc w:val="center"/>
              <w:rPr>
                <w:rFonts w:ascii="Bahnschrift" w:hAnsi="Bahnschrift" w:cs="Times New Roman"/>
                <w:b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b/>
                <w:sz w:val="24"/>
                <w:szCs w:val="24"/>
              </w:rPr>
              <w:t>ukazatel</w:t>
            </w:r>
          </w:p>
        </w:tc>
        <w:tc>
          <w:tcPr>
            <w:tcW w:w="1701" w:type="dxa"/>
            <w:vAlign w:val="center"/>
          </w:tcPr>
          <w:p w14:paraId="775E3D4E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b/>
                <w:sz w:val="24"/>
                <w:szCs w:val="24"/>
              </w:rPr>
              <w:t>v cash flow</w:t>
            </w:r>
          </w:p>
        </w:tc>
      </w:tr>
      <w:tr w:rsidR="00290C0C" w:rsidRPr="00916BFC" w14:paraId="343A445E" w14:textId="77777777" w:rsidTr="00290C0C">
        <w:trPr>
          <w:trHeight w:val="113"/>
        </w:trPr>
        <w:tc>
          <w:tcPr>
            <w:tcW w:w="1593" w:type="dxa"/>
            <w:vAlign w:val="center"/>
          </w:tcPr>
          <w:p w14:paraId="6CC1AEFC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t>+ aktiva</w:t>
            </w:r>
          </w:p>
        </w:tc>
        <w:tc>
          <w:tcPr>
            <w:tcW w:w="1701" w:type="dxa"/>
            <w:vAlign w:val="center"/>
          </w:tcPr>
          <w:p w14:paraId="5D62D961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sym w:font="Symbol" w:char="F02D"/>
            </w:r>
          </w:p>
        </w:tc>
      </w:tr>
      <w:tr w:rsidR="00290C0C" w:rsidRPr="00916BFC" w14:paraId="1C7F553F" w14:textId="77777777" w:rsidTr="00290C0C">
        <w:trPr>
          <w:trHeight w:val="113"/>
        </w:trPr>
        <w:tc>
          <w:tcPr>
            <w:tcW w:w="1593" w:type="dxa"/>
            <w:vAlign w:val="center"/>
          </w:tcPr>
          <w:p w14:paraId="3A5D93BB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sym w:font="Symbol" w:char="F02D"/>
            </w:r>
            <w:r w:rsidRPr="00916BFC">
              <w:rPr>
                <w:rFonts w:ascii="Bahnschrift" w:hAnsi="Bahnschrift" w:cs="Times New Roman"/>
                <w:sz w:val="24"/>
                <w:szCs w:val="24"/>
              </w:rPr>
              <w:t xml:space="preserve"> aktiva</w:t>
            </w:r>
          </w:p>
        </w:tc>
        <w:tc>
          <w:tcPr>
            <w:tcW w:w="1701" w:type="dxa"/>
            <w:vAlign w:val="center"/>
          </w:tcPr>
          <w:p w14:paraId="32F92EA6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t>+</w:t>
            </w:r>
          </w:p>
        </w:tc>
      </w:tr>
      <w:tr w:rsidR="00290C0C" w:rsidRPr="00916BFC" w14:paraId="7EC1DB87" w14:textId="77777777" w:rsidTr="00290C0C">
        <w:trPr>
          <w:trHeight w:val="113"/>
        </w:trPr>
        <w:tc>
          <w:tcPr>
            <w:tcW w:w="1593" w:type="dxa"/>
            <w:vAlign w:val="center"/>
          </w:tcPr>
          <w:p w14:paraId="5BF61B8A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t>+ pasiva</w:t>
            </w:r>
          </w:p>
        </w:tc>
        <w:tc>
          <w:tcPr>
            <w:tcW w:w="1701" w:type="dxa"/>
            <w:vAlign w:val="center"/>
          </w:tcPr>
          <w:p w14:paraId="0B8B6C2E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t>+</w:t>
            </w:r>
          </w:p>
        </w:tc>
      </w:tr>
      <w:tr w:rsidR="00290C0C" w:rsidRPr="00916BFC" w14:paraId="2482947C" w14:textId="77777777" w:rsidTr="00290C0C">
        <w:trPr>
          <w:trHeight w:val="113"/>
        </w:trPr>
        <w:tc>
          <w:tcPr>
            <w:tcW w:w="1593" w:type="dxa"/>
            <w:vAlign w:val="center"/>
          </w:tcPr>
          <w:p w14:paraId="6E0FBA6F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sym w:font="Symbol" w:char="F02D"/>
            </w:r>
            <w:r w:rsidRPr="00916BFC">
              <w:rPr>
                <w:rFonts w:ascii="Bahnschrift" w:hAnsi="Bahnschrift" w:cs="Times New Roman"/>
                <w:sz w:val="24"/>
                <w:szCs w:val="24"/>
              </w:rPr>
              <w:t xml:space="preserve"> pasiva</w:t>
            </w:r>
          </w:p>
        </w:tc>
        <w:tc>
          <w:tcPr>
            <w:tcW w:w="1701" w:type="dxa"/>
            <w:vAlign w:val="center"/>
          </w:tcPr>
          <w:p w14:paraId="6C701FD8" w14:textId="77777777" w:rsidR="00290C0C" w:rsidRPr="00916BFC" w:rsidRDefault="00290C0C" w:rsidP="00290C0C">
            <w:pPr>
              <w:tabs>
                <w:tab w:val="left" w:pos="2977"/>
              </w:tabs>
              <w:jc w:val="center"/>
              <w:rPr>
                <w:rFonts w:ascii="Bahnschrift" w:hAnsi="Bahnschrift" w:cs="Times New Roman"/>
                <w:sz w:val="24"/>
                <w:szCs w:val="24"/>
              </w:rPr>
            </w:pPr>
            <w:r w:rsidRPr="00916BFC">
              <w:rPr>
                <w:rFonts w:ascii="Bahnschrift" w:hAnsi="Bahnschrift" w:cs="Times New Roman"/>
                <w:sz w:val="24"/>
                <w:szCs w:val="24"/>
              </w:rPr>
              <w:sym w:font="Symbol" w:char="F02D"/>
            </w:r>
          </w:p>
        </w:tc>
      </w:tr>
    </w:tbl>
    <w:p w14:paraId="5A46EE0F" w14:textId="77777777" w:rsidR="00E046FE" w:rsidRDefault="00B42DF6" w:rsidP="00E046FE">
      <w:pPr>
        <w:pStyle w:val="Odstavecseseznamem"/>
        <w:numPr>
          <w:ilvl w:val="0"/>
          <w:numId w:val="50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E046FE">
        <w:rPr>
          <w:rFonts w:ascii="Bahnschrift" w:hAnsi="Bahnschrift" w:cs="Times New Roman"/>
          <w:sz w:val="24"/>
          <w:szCs w:val="24"/>
        </w:rPr>
        <w:t>sledujeme ve 3 činnostech:</w:t>
      </w:r>
    </w:p>
    <w:p w14:paraId="1228669A" w14:textId="5F541C26" w:rsidR="00B42DF6" w:rsidRPr="00E046FE" w:rsidRDefault="00B42DF6" w:rsidP="00E046FE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E046FE">
        <w:rPr>
          <w:rFonts w:ascii="Bahnschrift" w:hAnsi="Bahnschrift" w:cs="Times New Roman"/>
          <w:sz w:val="24"/>
          <w:szCs w:val="24"/>
        </w:rPr>
        <w:t>1. provozní činnost</w:t>
      </w:r>
    </w:p>
    <w:p w14:paraId="32F4D379" w14:textId="38C8D637" w:rsidR="00B42DF6" w:rsidRPr="00916BFC" w:rsidRDefault="00B42DF6" w:rsidP="00B42DF6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2. investiční činnost</w:t>
      </w:r>
    </w:p>
    <w:p w14:paraId="7561A544" w14:textId="44933B3B" w:rsidR="00B42DF6" w:rsidRPr="00916BFC" w:rsidRDefault="00B42DF6" w:rsidP="00B42DF6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3. finanční činnost</w:t>
      </w:r>
    </w:p>
    <w:p w14:paraId="3E0E1984" w14:textId="77777777" w:rsidR="00B42DF6" w:rsidRPr="00916BFC" w:rsidRDefault="00B42DF6" w:rsidP="00B42DF6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</w:p>
    <w:p w14:paraId="71D5A4F1" w14:textId="77777777" w:rsidR="00B42DF6" w:rsidRPr="00916BFC" w:rsidRDefault="00B42DF6" w:rsidP="00B42DF6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</w:p>
    <w:p w14:paraId="557E3C95" w14:textId="77777777" w:rsidR="00B22B30" w:rsidRDefault="00B22B30" w:rsidP="002B470F">
      <w:pPr>
        <w:tabs>
          <w:tab w:val="left" w:pos="2977"/>
        </w:tabs>
        <w:rPr>
          <w:rFonts w:ascii="Bahnschrift" w:hAnsi="Bahnschrift" w:cs="Times New Roman"/>
          <w:b/>
          <w:sz w:val="24"/>
          <w:szCs w:val="24"/>
        </w:rPr>
      </w:pPr>
    </w:p>
    <w:p w14:paraId="001911ED" w14:textId="77777777" w:rsidR="00E27B7E" w:rsidRPr="00916BFC" w:rsidRDefault="00E27B7E" w:rsidP="002B470F">
      <w:pPr>
        <w:tabs>
          <w:tab w:val="left" w:pos="2977"/>
        </w:tabs>
        <w:rPr>
          <w:rFonts w:ascii="Bahnschrift" w:hAnsi="Bahnschrift" w:cs="Times New Roman"/>
          <w:b/>
          <w:sz w:val="24"/>
          <w:szCs w:val="24"/>
        </w:rPr>
      </w:pPr>
    </w:p>
    <w:p w14:paraId="1C85DA46" w14:textId="6CF6DCB7" w:rsidR="002B470F" w:rsidRPr="00916BFC" w:rsidRDefault="002B470F" w:rsidP="002B470F">
      <w:pPr>
        <w:tabs>
          <w:tab w:val="left" w:pos="2977"/>
        </w:tabs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Rozsah účetní závěrky</w:t>
      </w:r>
    </w:p>
    <w:p w14:paraId="56136DB2" w14:textId="77777777" w:rsidR="002B470F" w:rsidRPr="00916BFC" w:rsidRDefault="002B470F" w:rsidP="002B470F">
      <w:pPr>
        <w:pStyle w:val="Odstavecseseznamem"/>
        <w:numPr>
          <w:ilvl w:val="0"/>
          <w:numId w:val="12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 xml:space="preserve">Rozvaha a příloha v plném rozsahu – </w:t>
      </w:r>
      <w:r w:rsidRPr="00916BFC">
        <w:rPr>
          <w:rFonts w:ascii="Bahnschrift" w:hAnsi="Bahnschrift" w:cs="Times New Roman"/>
          <w:sz w:val="24"/>
          <w:szCs w:val="24"/>
        </w:rPr>
        <w:t>musí sestavovat všechny střední a velké jednotky a dále mikro a malé účetní jednotky, které mají zákonem stanovenou povinnost auditu</w:t>
      </w:r>
    </w:p>
    <w:p w14:paraId="42641D55" w14:textId="77777777" w:rsidR="002B470F" w:rsidRPr="00916BFC" w:rsidRDefault="002B470F" w:rsidP="002B470F">
      <w:pPr>
        <w:pStyle w:val="Odstavecseseznamem"/>
        <w:numPr>
          <w:ilvl w:val="0"/>
          <w:numId w:val="12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Výkaz zisku a ztráty v plném rozsahu –</w:t>
      </w:r>
      <w:r w:rsidRPr="00916BFC">
        <w:rPr>
          <w:rFonts w:ascii="Bahnschrift" w:hAnsi="Bahnschrift" w:cs="Times New Roman"/>
          <w:sz w:val="24"/>
          <w:szCs w:val="24"/>
        </w:rPr>
        <w:t xml:space="preserve"> musí sestavovat všechny obchodní společnosti; pro ostatní účetní jednotky pak platí stejná kritéria jako u bodu 1</w:t>
      </w:r>
    </w:p>
    <w:p w14:paraId="15C60D4A" w14:textId="77777777" w:rsidR="002B470F" w:rsidRPr="00916BFC" w:rsidRDefault="002B470F" w:rsidP="002B470F">
      <w:pPr>
        <w:pStyle w:val="Odstavecseseznamem"/>
        <w:numPr>
          <w:ilvl w:val="0"/>
          <w:numId w:val="12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Výkazy ve zkráceném rozsahu –</w:t>
      </w:r>
      <w:r w:rsidRPr="00916BFC">
        <w:rPr>
          <w:rFonts w:ascii="Bahnschrift" w:hAnsi="Bahnschrift" w:cs="Times New Roman"/>
          <w:sz w:val="24"/>
          <w:szCs w:val="24"/>
        </w:rPr>
        <w:t xml:space="preserve"> sestavují všechny ostatní účetní jednotky (pokud samy dobrovolně nerozhodnou jinak)</w:t>
      </w:r>
    </w:p>
    <w:p w14:paraId="5248474B" w14:textId="0A08770C" w:rsidR="002B470F" w:rsidRPr="00E27B7E" w:rsidRDefault="002B470F" w:rsidP="002B470F">
      <w:pPr>
        <w:pStyle w:val="Odstavecseseznamem"/>
        <w:numPr>
          <w:ilvl w:val="0"/>
          <w:numId w:val="12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Rozvaha ve zkráceném rozsahu –</w:t>
      </w:r>
      <w:r w:rsidRPr="00916BFC">
        <w:rPr>
          <w:rFonts w:ascii="Bahnschrift" w:hAnsi="Bahnschrift" w:cs="Times New Roman"/>
          <w:sz w:val="24"/>
          <w:szCs w:val="24"/>
        </w:rPr>
        <w:t xml:space="preserve"> má od roku 2016 dvě verze – </w:t>
      </w:r>
      <w:r w:rsidRPr="00916BFC">
        <w:rPr>
          <w:rFonts w:ascii="Bahnschrift" w:hAnsi="Bahnschrift" w:cs="Times New Roman"/>
          <w:b/>
          <w:sz w:val="24"/>
          <w:szCs w:val="24"/>
        </w:rPr>
        <w:t>základní a rozšířenou</w:t>
      </w:r>
    </w:p>
    <w:p w14:paraId="39E3E71B" w14:textId="77777777" w:rsidR="002B470F" w:rsidRPr="00916BFC" w:rsidRDefault="002B470F" w:rsidP="002B470F">
      <w:p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</w:p>
    <w:p w14:paraId="7725CEFF" w14:textId="77777777" w:rsidR="002B470F" w:rsidRPr="00916BFC" w:rsidRDefault="002B470F" w:rsidP="002B470F">
      <w:pPr>
        <w:tabs>
          <w:tab w:val="left" w:pos="2977"/>
        </w:tabs>
        <w:rPr>
          <w:rFonts w:ascii="Bahnschrift" w:hAnsi="Bahnschrift" w:cs="Times New Roman"/>
          <w:b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Ověření účetní závěrky auditorem</w:t>
      </w:r>
    </w:p>
    <w:p w14:paraId="008304D3" w14:textId="77777777" w:rsidR="002B470F" w:rsidRPr="00916BFC" w:rsidRDefault="002B470F" w:rsidP="002B470F">
      <w:pPr>
        <w:pStyle w:val="Odstavecseseznamem"/>
        <w:numPr>
          <w:ilvl w:val="0"/>
          <w:numId w:val="13"/>
        </w:numPr>
        <w:tabs>
          <w:tab w:val="left" w:pos="2977"/>
        </w:tabs>
        <w:ind w:left="284" w:hanging="284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auditor – nezávislá osoba, zapsaná v seznamu Komory auditorů ČR</w:t>
      </w:r>
    </w:p>
    <w:p w14:paraId="3D5CD39E" w14:textId="77777777" w:rsidR="002B470F" w:rsidRPr="00916BFC" w:rsidRDefault="002B470F" w:rsidP="002B470F">
      <w:pPr>
        <w:pStyle w:val="Odstavecseseznamem"/>
        <w:numPr>
          <w:ilvl w:val="0"/>
          <w:numId w:val="13"/>
        </w:numPr>
        <w:tabs>
          <w:tab w:val="left" w:pos="2977"/>
        </w:tabs>
        <w:ind w:left="284" w:hanging="284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vymezuje §20 Zákonu o účetnictví</w:t>
      </w:r>
    </w:p>
    <w:p w14:paraId="2D2F1A62" w14:textId="77777777" w:rsidR="002B470F" w:rsidRPr="00916BFC" w:rsidRDefault="002B470F" w:rsidP="002B470F">
      <w:pPr>
        <w:pStyle w:val="Odstavecseseznamem"/>
        <w:numPr>
          <w:ilvl w:val="0"/>
          <w:numId w:val="13"/>
        </w:numPr>
        <w:tabs>
          <w:tab w:val="left" w:pos="2977"/>
        </w:tabs>
        <w:ind w:left="284" w:hanging="284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podle něj mají povinnost auditu:</w:t>
      </w:r>
    </w:p>
    <w:p w14:paraId="0313F992" w14:textId="77777777" w:rsidR="002B470F" w:rsidRPr="00916BFC" w:rsidRDefault="002B470F" w:rsidP="002B470F">
      <w:pPr>
        <w:pStyle w:val="Odstavecseseznamem"/>
        <w:numPr>
          <w:ilvl w:val="0"/>
          <w:numId w:val="14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velké a střední účetní jednotky</w:t>
      </w:r>
    </w:p>
    <w:p w14:paraId="305A12F5" w14:textId="77777777" w:rsidR="002B470F" w:rsidRPr="00916BFC" w:rsidRDefault="002B470F" w:rsidP="002B470F">
      <w:pPr>
        <w:pStyle w:val="Odstavecseseznamem"/>
        <w:numPr>
          <w:ilvl w:val="0"/>
          <w:numId w:val="14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malé účetní jednotky</w:t>
      </w:r>
      <w:r w:rsidRPr="00916BFC">
        <w:rPr>
          <w:rFonts w:ascii="Bahnschrift" w:hAnsi="Bahnschrift" w:cs="Times New Roman"/>
          <w:sz w:val="24"/>
          <w:szCs w:val="24"/>
        </w:rPr>
        <w:t xml:space="preserve">, které jsou </w:t>
      </w:r>
      <w:r w:rsidRPr="00916BFC">
        <w:rPr>
          <w:rFonts w:ascii="Bahnschrift" w:hAnsi="Bahnschrift" w:cs="Times New Roman"/>
          <w:b/>
          <w:sz w:val="24"/>
          <w:szCs w:val="24"/>
        </w:rPr>
        <w:t>akciovými společnostmi</w:t>
      </w:r>
      <w:r w:rsidRPr="00916BFC">
        <w:rPr>
          <w:rFonts w:ascii="Bahnschrift" w:hAnsi="Bahnschrift" w:cs="Times New Roman"/>
          <w:sz w:val="24"/>
          <w:szCs w:val="24"/>
        </w:rPr>
        <w:t xml:space="preserve">, pokud v účetním období, za něž se účetní závěrka ověřuje a v účetním období bezprostředně předcházejícím dosáhla nebo překročila </w:t>
      </w:r>
      <w:r w:rsidRPr="00916BFC">
        <w:rPr>
          <w:rFonts w:ascii="Bahnschrift" w:hAnsi="Bahnschrift" w:cs="Times New Roman"/>
          <w:b/>
          <w:sz w:val="24"/>
          <w:szCs w:val="24"/>
        </w:rPr>
        <w:t>alespoň jedno</w:t>
      </w:r>
      <w:r w:rsidRPr="00916BFC">
        <w:rPr>
          <w:rFonts w:ascii="Bahnschrift" w:hAnsi="Bahnschrift" w:cs="Times New Roman"/>
          <w:sz w:val="24"/>
          <w:szCs w:val="24"/>
        </w:rPr>
        <w:t xml:space="preserve"> z níže uvedených kritérií:</w:t>
      </w:r>
    </w:p>
    <w:p w14:paraId="0A960E56" w14:textId="77777777" w:rsidR="002B470F" w:rsidRPr="00916BFC" w:rsidRDefault="002B470F" w:rsidP="00CC5E73">
      <w:pPr>
        <w:pStyle w:val="Odstavecseseznamem"/>
        <w:numPr>
          <w:ilvl w:val="1"/>
          <w:numId w:val="51"/>
        </w:numPr>
        <w:tabs>
          <w:tab w:val="left" w:pos="2977"/>
        </w:tabs>
        <w:ind w:left="1264" w:hanging="357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aktiva celkem překročila 40 000 000 Kč</w:t>
      </w:r>
    </w:p>
    <w:p w14:paraId="39B0AEBE" w14:textId="77777777" w:rsidR="00AB6B50" w:rsidRPr="00916BFC" w:rsidRDefault="00AB6B50" w:rsidP="00CC5E73">
      <w:pPr>
        <w:pStyle w:val="Odstavecseseznamem"/>
        <w:numPr>
          <w:ilvl w:val="1"/>
          <w:numId w:val="51"/>
        </w:numPr>
        <w:tabs>
          <w:tab w:val="left" w:pos="2977"/>
        </w:tabs>
        <w:ind w:left="1264" w:hanging="357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roční čistý obrat byl vyšší než 80 000 000 Kč</w:t>
      </w:r>
    </w:p>
    <w:p w14:paraId="4A2C7D06" w14:textId="77777777" w:rsidR="00AB6B50" w:rsidRPr="00916BFC" w:rsidRDefault="00AB6B50" w:rsidP="00CC5E73">
      <w:pPr>
        <w:pStyle w:val="Odstavecseseznamem"/>
        <w:numPr>
          <w:ilvl w:val="1"/>
          <w:numId w:val="51"/>
        </w:numPr>
        <w:tabs>
          <w:tab w:val="left" w:pos="2977"/>
        </w:tabs>
        <w:ind w:left="1264" w:hanging="357"/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sz w:val="24"/>
          <w:szCs w:val="24"/>
        </w:rPr>
        <w:t>průměrný přepočtený stav zaměstnanců byl vyšší než 50</w:t>
      </w:r>
    </w:p>
    <w:p w14:paraId="2DA6E0B0" w14:textId="186EB9C4" w:rsidR="002B470F" w:rsidRPr="00290C0C" w:rsidRDefault="00AB6B50" w:rsidP="002B470F">
      <w:pPr>
        <w:pStyle w:val="Odstavecseseznamem"/>
        <w:numPr>
          <w:ilvl w:val="0"/>
          <w:numId w:val="14"/>
        </w:numPr>
        <w:tabs>
          <w:tab w:val="left" w:pos="2977"/>
        </w:tabs>
        <w:rPr>
          <w:rFonts w:ascii="Bahnschrift" w:hAnsi="Bahnschrift" w:cs="Times New Roman"/>
          <w:sz w:val="24"/>
          <w:szCs w:val="24"/>
        </w:rPr>
      </w:pPr>
      <w:r w:rsidRPr="00916BFC">
        <w:rPr>
          <w:rFonts w:ascii="Bahnschrift" w:hAnsi="Bahnschrift" w:cs="Times New Roman"/>
          <w:b/>
          <w:sz w:val="24"/>
          <w:szCs w:val="24"/>
        </w:rPr>
        <w:t>ostatní malé účetní jednotky</w:t>
      </w:r>
      <w:r w:rsidRPr="00916BFC">
        <w:rPr>
          <w:rFonts w:ascii="Bahnschrift" w:hAnsi="Bahnschrift" w:cs="Times New Roman"/>
          <w:sz w:val="24"/>
          <w:szCs w:val="24"/>
        </w:rPr>
        <w:t xml:space="preserve"> (např. společnosti s ručením omezeným), pokud v účetním obdob</w:t>
      </w:r>
      <w:r w:rsidR="00CC5E73">
        <w:rPr>
          <w:rFonts w:ascii="Bahnschrift" w:hAnsi="Bahnschrift" w:cs="Times New Roman"/>
          <w:sz w:val="24"/>
          <w:szCs w:val="24"/>
        </w:rPr>
        <w:t xml:space="preserve">í, </w:t>
      </w:r>
      <w:r w:rsidRPr="00916BFC">
        <w:rPr>
          <w:rFonts w:ascii="Bahnschrift" w:hAnsi="Bahnschrift" w:cs="Times New Roman"/>
          <w:sz w:val="24"/>
          <w:szCs w:val="24"/>
        </w:rPr>
        <w:t xml:space="preserve">za něž se účetní závěrka ověřuje a v účetním období bezprostředně předcházejícím dosáhla </w:t>
      </w:r>
      <w:r w:rsidRPr="00916BFC">
        <w:rPr>
          <w:rFonts w:ascii="Bahnschrift" w:hAnsi="Bahnschrift" w:cs="Times New Roman"/>
          <w:b/>
          <w:sz w:val="24"/>
          <w:szCs w:val="24"/>
        </w:rPr>
        <w:t>minimálně dvě</w:t>
      </w:r>
      <w:r w:rsidRPr="00916BFC">
        <w:rPr>
          <w:rFonts w:ascii="Bahnschrift" w:hAnsi="Bahnschrift" w:cs="Times New Roman"/>
          <w:sz w:val="24"/>
          <w:szCs w:val="24"/>
        </w:rPr>
        <w:t xml:space="preserve"> z kritérií v bodu b</w:t>
      </w:r>
    </w:p>
    <w:sectPr w:rsidR="002B470F" w:rsidRPr="00290C0C" w:rsidSect="002B470F"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002"/>
    <w:multiLevelType w:val="hybridMultilevel"/>
    <w:tmpl w:val="DAD01BF8"/>
    <w:lvl w:ilvl="0" w:tplc="6032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1CB"/>
    <w:multiLevelType w:val="multilevel"/>
    <w:tmpl w:val="A43CFC28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122853"/>
    <w:multiLevelType w:val="multilevel"/>
    <w:tmpl w:val="F586B1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236061"/>
    <w:multiLevelType w:val="multilevel"/>
    <w:tmpl w:val="C9E8886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ordinal"/>
      <w:lvlText w:val="%2"/>
      <w:lvlJc w:val="left"/>
      <w:pPr>
        <w:ind w:left="567" w:hanging="22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964" w:hanging="34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134" w:hanging="17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7B5E88"/>
    <w:multiLevelType w:val="hybridMultilevel"/>
    <w:tmpl w:val="0ECA97D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378A7"/>
    <w:multiLevelType w:val="hybridMultilevel"/>
    <w:tmpl w:val="9B00C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503E8"/>
    <w:multiLevelType w:val="hybridMultilevel"/>
    <w:tmpl w:val="0D66821A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9613F"/>
    <w:multiLevelType w:val="hybridMultilevel"/>
    <w:tmpl w:val="0A9C687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C7395"/>
    <w:multiLevelType w:val="hybridMultilevel"/>
    <w:tmpl w:val="C9B6E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22D74"/>
    <w:multiLevelType w:val="hybridMultilevel"/>
    <w:tmpl w:val="0D4A0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11B8F"/>
    <w:multiLevelType w:val="hybridMultilevel"/>
    <w:tmpl w:val="C37E53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E2C5B"/>
    <w:multiLevelType w:val="multilevel"/>
    <w:tmpl w:val="A4C803A0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BBC3A28"/>
    <w:multiLevelType w:val="hybridMultilevel"/>
    <w:tmpl w:val="8CB68EB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DC702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D292E"/>
    <w:multiLevelType w:val="hybridMultilevel"/>
    <w:tmpl w:val="F4F2AEB8"/>
    <w:lvl w:ilvl="0" w:tplc="0405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23B05E8A"/>
    <w:multiLevelType w:val="multilevel"/>
    <w:tmpl w:val="E762312A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</w:rPr>
    </w:lvl>
    <w:lvl w:ilvl="1">
      <w:start w:val="1"/>
      <w:numFmt w:val="bullet"/>
      <w:lvlText w:val="-"/>
      <w:lvlJc w:val="left"/>
      <w:pPr>
        <w:ind w:left="567" w:hanging="227"/>
      </w:pPr>
      <w:rPr>
        <w:rFonts w:ascii="Calibri" w:hAnsi="Calibri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443484A"/>
    <w:multiLevelType w:val="multilevel"/>
    <w:tmpl w:val="D17E79E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6232F7"/>
    <w:multiLevelType w:val="hybridMultilevel"/>
    <w:tmpl w:val="1FAEE0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47C59"/>
    <w:multiLevelType w:val="multilevel"/>
    <w:tmpl w:val="E39443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B43850"/>
    <w:multiLevelType w:val="hybridMultilevel"/>
    <w:tmpl w:val="227C6BFE"/>
    <w:lvl w:ilvl="0" w:tplc="6032F9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61B5B"/>
    <w:multiLevelType w:val="hybridMultilevel"/>
    <w:tmpl w:val="5A3C3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4265F"/>
    <w:multiLevelType w:val="hybridMultilevel"/>
    <w:tmpl w:val="B17C7CF6"/>
    <w:lvl w:ilvl="0" w:tplc="04050017">
      <w:start w:val="1"/>
      <w:numFmt w:val="lowerLetter"/>
      <w:lvlText w:val="%1)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3332382B"/>
    <w:multiLevelType w:val="multilevel"/>
    <w:tmpl w:val="E39443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3521C41"/>
    <w:multiLevelType w:val="hybridMultilevel"/>
    <w:tmpl w:val="D4F44B82"/>
    <w:lvl w:ilvl="0" w:tplc="2F58C2C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A2E01"/>
    <w:multiLevelType w:val="multilevel"/>
    <w:tmpl w:val="B45CBE48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7852A77"/>
    <w:multiLevelType w:val="multilevel"/>
    <w:tmpl w:val="0DC0DA76"/>
    <w:lvl w:ilvl="0">
      <w:start w:val="1"/>
      <w:numFmt w:val="bullet"/>
      <w:lvlText w:val="o"/>
      <w:lvlJc w:val="left"/>
      <w:pPr>
        <w:ind w:left="340" w:hanging="34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680FD9"/>
    <w:multiLevelType w:val="multilevel"/>
    <w:tmpl w:val="DBAE381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015195E"/>
    <w:multiLevelType w:val="hybridMultilevel"/>
    <w:tmpl w:val="DD9C58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271F5"/>
    <w:multiLevelType w:val="hybridMultilevel"/>
    <w:tmpl w:val="03E49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54404"/>
    <w:multiLevelType w:val="hybridMultilevel"/>
    <w:tmpl w:val="381E3C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23134"/>
    <w:multiLevelType w:val="hybridMultilevel"/>
    <w:tmpl w:val="9774C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91DBF"/>
    <w:multiLevelType w:val="hybridMultilevel"/>
    <w:tmpl w:val="A4DAB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2138B"/>
    <w:multiLevelType w:val="hybridMultilevel"/>
    <w:tmpl w:val="CC2E81F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2D24"/>
    <w:multiLevelType w:val="multilevel"/>
    <w:tmpl w:val="8FFEAD8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8FB63D0"/>
    <w:multiLevelType w:val="hybridMultilevel"/>
    <w:tmpl w:val="83107BA2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0A239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3144B"/>
    <w:multiLevelType w:val="hybridMultilevel"/>
    <w:tmpl w:val="88BE719E"/>
    <w:lvl w:ilvl="0" w:tplc="49A0D43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C520C"/>
    <w:multiLevelType w:val="hybridMultilevel"/>
    <w:tmpl w:val="D2989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45255"/>
    <w:multiLevelType w:val="hybridMultilevel"/>
    <w:tmpl w:val="9DE87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D32C7"/>
    <w:multiLevelType w:val="multilevel"/>
    <w:tmpl w:val="DBAE381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0CB062B"/>
    <w:multiLevelType w:val="hybridMultilevel"/>
    <w:tmpl w:val="C2E8D470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215F4"/>
    <w:multiLevelType w:val="multilevel"/>
    <w:tmpl w:val="A43CFC28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8E854DE"/>
    <w:multiLevelType w:val="hybridMultilevel"/>
    <w:tmpl w:val="1782335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6F661A"/>
    <w:multiLevelType w:val="multilevel"/>
    <w:tmpl w:val="A4C803A0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B7B2F29"/>
    <w:multiLevelType w:val="multilevel"/>
    <w:tmpl w:val="C7AED4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96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BFB53DF"/>
    <w:multiLevelType w:val="multilevel"/>
    <w:tmpl w:val="DBAE381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6C0D7A44"/>
    <w:multiLevelType w:val="multilevel"/>
    <w:tmpl w:val="6868EEC4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C245FD6"/>
    <w:multiLevelType w:val="multilevel"/>
    <w:tmpl w:val="DBAE381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D5C36E3"/>
    <w:multiLevelType w:val="hybridMultilevel"/>
    <w:tmpl w:val="B5F86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FA3860"/>
    <w:multiLevelType w:val="multilevel"/>
    <w:tmpl w:val="A43CFC28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75C266FD"/>
    <w:multiLevelType w:val="hybridMultilevel"/>
    <w:tmpl w:val="AA3677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A87F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B3408E"/>
    <w:multiLevelType w:val="multilevel"/>
    <w:tmpl w:val="DBAE381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4" w:hanging="170"/>
      </w:pPr>
      <w:rPr>
        <w:rFonts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7EB654E3"/>
    <w:multiLevelType w:val="hybridMultilevel"/>
    <w:tmpl w:val="4B102F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239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869915">
    <w:abstractNumId w:val="50"/>
  </w:num>
  <w:num w:numId="2" w16cid:durableId="1762608375">
    <w:abstractNumId w:val="48"/>
  </w:num>
  <w:num w:numId="3" w16cid:durableId="1134175286">
    <w:abstractNumId w:val="29"/>
  </w:num>
  <w:num w:numId="4" w16cid:durableId="1384863194">
    <w:abstractNumId w:val="38"/>
  </w:num>
  <w:num w:numId="5" w16cid:durableId="1582328546">
    <w:abstractNumId w:val="2"/>
  </w:num>
  <w:num w:numId="6" w16cid:durableId="299724534">
    <w:abstractNumId w:val="3"/>
  </w:num>
  <w:num w:numId="7" w16cid:durableId="2055154731">
    <w:abstractNumId w:val="23"/>
  </w:num>
  <w:num w:numId="8" w16cid:durableId="380403656">
    <w:abstractNumId w:val="15"/>
  </w:num>
  <w:num w:numId="9" w16cid:durableId="1071276703">
    <w:abstractNumId w:val="24"/>
  </w:num>
  <w:num w:numId="10" w16cid:durableId="1024359088">
    <w:abstractNumId w:val="33"/>
  </w:num>
  <w:num w:numId="11" w16cid:durableId="919097775">
    <w:abstractNumId w:val="0"/>
  </w:num>
  <w:num w:numId="12" w16cid:durableId="856430414">
    <w:abstractNumId w:val="18"/>
  </w:num>
  <w:num w:numId="13" w16cid:durableId="1194995307">
    <w:abstractNumId w:val="6"/>
  </w:num>
  <w:num w:numId="14" w16cid:durableId="1074275123">
    <w:abstractNumId w:val="14"/>
  </w:num>
  <w:num w:numId="15" w16cid:durableId="427503864">
    <w:abstractNumId w:val="20"/>
  </w:num>
  <w:num w:numId="16" w16cid:durableId="261038282">
    <w:abstractNumId w:val="12"/>
  </w:num>
  <w:num w:numId="17" w16cid:durableId="1304890000">
    <w:abstractNumId w:val="9"/>
  </w:num>
  <w:num w:numId="18" w16cid:durableId="1260680381">
    <w:abstractNumId w:val="40"/>
  </w:num>
  <w:num w:numId="19" w16cid:durableId="1488279038">
    <w:abstractNumId w:val="42"/>
  </w:num>
  <w:num w:numId="20" w16cid:durableId="418908555">
    <w:abstractNumId w:val="17"/>
  </w:num>
  <w:num w:numId="21" w16cid:durableId="722565104">
    <w:abstractNumId w:val="34"/>
  </w:num>
  <w:num w:numId="22" w16cid:durableId="1475180755">
    <w:abstractNumId w:val="22"/>
  </w:num>
  <w:num w:numId="23" w16cid:durableId="213469255">
    <w:abstractNumId w:val="7"/>
  </w:num>
  <w:num w:numId="24" w16cid:durableId="293753090">
    <w:abstractNumId w:val="8"/>
  </w:num>
  <w:num w:numId="25" w16cid:durableId="1543516053">
    <w:abstractNumId w:val="44"/>
  </w:num>
  <w:num w:numId="26" w16cid:durableId="1257057675">
    <w:abstractNumId w:val="37"/>
  </w:num>
  <w:num w:numId="27" w16cid:durableId="242490547">
    <w:abstractNumId w:val="25"/>
  </w:num>
  <w:num w:numId="28" w16cid:durableId="1795294901">
    <w:abstractNumId w:val="43"/>
  </w:num>
  <w:num w:numId="29" w16cid:durableId="194194817">
    <w:abstractNumId w:val="49"/>
  </w:num>
  <w:num w:numId="30" w16cid:durableId="1343240331">
    <w:abstractNumId w:val="45"/>
  </w:num>
  <w:num w:numId="31" w16cid:durableId="830288548">
    <w:abstractNumId w:val="47"/>
  </w:num>
  <w:num w:numId="32" w16cid:durableId="1638409807">
    <w:abstractNumId w:val="39"/>
  </w:num>
  <w:num w:numId="33" w16cid:durableId="2039357007">
    <w:abstractNumId w:val="1"/>
  </w:num>
  <w:num w:numId="34" w16cid:durableId="1352609459">
    <w:abstractNumId w:val="27"/>
  </w:num>
  <w:num w:numId="35" w16cid:durableId="28066080">
    <w:abstractNumId w:val="13"/>
  </w:num>
  <w:num w:numId="36" w16cid:durableId="779298608">
    <w:abstractNumId w:val="4"/>
  </w:num>
  <w:num w:numId="37" w16cid:durableId="362755911">
    <w:abstractNumId w:val="30"/>
  </w:num>
  <w:num w:numId="38" w16cid:durableId="1804076650">
    <w:abstractNumId w:val="11"/>
  </w:num>
  <w:num w:numId="39" w16cid:durableId="864564586">
    <w:abstractNumId w:val="41"/>
  </w:num>
  <w:num w:numId="40" w16cid:durableId="189152507">
    <w:abstractNumId w:val="19"/>
  </w:num>
  <w:num w:numId="41" w16cid:durableId="398748199">
    <w:abstractNumId w:val="21"/>
  </w:num>
  <w:num w:numId="42" w16cid:durableId="1420254539">
    <w:abstractNumId w:val="36"/>
  </w:num>
  <w:num w:numId="43" w16cid:durableId="150145077">
    <w:abstractNumId w:val="28"/>
  </w:num>
  <w:num w:numId="44" w16cid:durableId="717826136">
    <w:abstractNumId w:val="46"/>
  </w:num>
  <w:num w:numId="45" w16cid:durableId="1826971450">
    <w:abstractNumId w:val="16"/>
  </w:num>
  <w:num w:numId="46" w16cid:durableId="546524861">
    <w:abstractNumId w:val="35"/>
  </w:num>
  <w:num w:numId="47" w16cid:durableId="1487698627">
    <w:abstractNumId w:val="26"/>
  </w:num>
  <w:num w:numId="48" w16cid:durableId="1266041388">
    <w:abstractNumId w:val="31"/>
  </w:num>
  <w:num w:numId="49" w16cid:durableId="55276089">
    <w:abstractNumId w:val="5"/>
  </w:num>
  <w:num w:numId="50" w16cid:durableId="1898320787">
    <w:abstractNumId w:val="10"/>
  </w:num>
  <w:num w:numId="51" w16cid:durableId="19775605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153"/>
    <w:rsid w:val="000102E1"/>
    <w:rsid w:val="00015A48"/>
    <w:rsid w:val="000724F5"/>
    <w:rsid w:val="000742D4"/>
    <w:rsid w:val="000820AD"/>
    <w:rsid w:val="000F0DD6"/>
    <w:rsid w:val="00132B3D"/>
    <w:rsid w:val="001665B1"/>
    <w:rsid w:val="00170A67"/>
    <w:rsid w:val="001D0C74"/>
    <w:rsid w:val="001E5333"/>
    <w:rsid w:val="00227774"/>
    <w:rsid w:val="002623DB"/>
    <w:rsid w:val="00290C0C"/>
    <w:rsid w:val="0029654D"/>
    <w:rsid w:val="002B470F"/>
    <w:rsid w:val="002B56F9"/>
    <w:rsid w:val="003309E8"/>
    <w:rsid w:val="00340C50"/>
    <w:rsid w:val="00366C9F"/>
    <w:rsid w:val="00367DAE"/>
    <w:rsid w:val="003A3FB8"/>
    <w:rsid w:val="003B42CD"/>
    <w:rsid w:val="003D1BAA"/>
    <w:rsid w:val="003F2350"/>
    <w:rsid w:val="003F6BA1"/>
    <w:rsid w:val="00451C12"/>
    <w:rsid w:val="004612F6"/>
    <w:rsid w:val="004A0DE2"/>
    <w:rsid w:val="004E2452"/>
    <w:rsid w:val="00536901"/>
    <w:rsid w:val="0054176E"/>
    <w:rsid w:val="00555B5D"/>
    <w:rsid w:val="00557327"/>
    <w:rsid w:val="006B6BC7"/>
    <w:rsid w:val="00700A78"/>
    <w:rsid w:val="00715001"/>
    <w:rsid w:val="00731E72"/>
    <w:rsid w:val="0076793D"/>
    <w:rsid w:val="0077018E"/>
    <w:rsid w:val="007818CD"/>
    <w:rsid w:val="00794F1E"/>
    <w:rsid w:val="007E0642"/>
    <w:rsid w:val="007F2F8F"/>
    <w:rsid w:val="00897677"/>
    <w:rsid w:val="008A41D0"/>
    <w:rsid w:val="008E6248"/>
    <w:rsid w:val="00916BFC"/>
    <w:rsid w:val="00925F25"/>
    <w:rsid w:val="009458C0"/>
    <w:rsid w:val="00964FBC"/>
    <w:rsid w:val="00A16173"/>
    <w:rsid w:val="00A346AC"/>
    <w:rsid w:val="00A623BF"/>
    <w:rsid w:val="00A7212A"/>
    <w:rsid w:val="00A81F29"/>
    <w:rsid w:val="00A950A5"/>
    <w:rsid w:val="00AB6B50"/>
    <w:rsid w:val="00AC1412"/>
    <w:rsid w:val="00AC602C"/>
    <w:rsid w:val="00AD2153"/>
    <w:rsid w:val="00AE4AE3"/>
    <w:rsid w:val="00B00B62"/>
    <w:rsid w:val="00B22B30"/>
    <w:rsid w:val="00B31BA0"/>
    <w:rsid w:val="00B42DF6"/>
    <w:rsid w:val="00B458DA"/>
    <w:rsid w:val="00B4700C"/>
    <w:rsid w:val="00B576A4"/>
    <w:rsid w:val="00B71FF8"/>
    <w:rsid w:val="00B83790"/>
    <w:rsid w:val="00BA168A"/>
    <w:rsid w:val="00C04112"/>
    <w:rsid w:val="00C45069"/>
    <w:rsid w:val="00C8080D"/>
    <w:rsid w:val="00CA243D"/>
    <w:rsid w:val="00CB2B86"/>
    <w:rsid w:val="00CB3C32"/>
    <w:rsid w:val="00CC5E73"/>
    <w:rsid w:val="00CD33F3"/>
    <w:rsid w:val="00CD760C"/>
    <w:rsid w:val="00D15455"/>
    <w:rsid w:val="00D866FA"/>
    <w:rsid w:val="00E032EF"/>
    <w:rsid w:val="00E046FE"/>
    <w:rsid w:val="00E0597D"/>
    <w:rsid w:val="00E27B7E"/>
    <w:rsid w:val="00E33698"/>
    <w:rsid w:val="00EC1DDF"/>
    <w:rsid w:val="00ED2D52"/>
    <w:rsid w:val="00EE6B7D"/>
    <w:rsid w:val="00EF6CB1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CC52"/>
  <w15:docId w15:val="{8239C9A9-A16D-428B-AE16-8DEB6B6D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D2153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623B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623B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42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E174-F8A6-1A4E-B7E1-37FA9FB8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1667</Words>
  <Characters>9837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Timová</dc:creator>
  <cp:lastModifiedBy>Veronika Nováková</cp:lastModifiedBy>
  <cp:revision>74</cp:revision>
  <cp:lastPrinted>2021-12-29T20:50:00Z</cp:lastPrinted>
  <dcterms:created xsi:type="dcterms:W3CDTF">2019-03-09T09:26:00Z</dcterms:created>
  <dcterms:modified xsi:type="dcterms:W3CDTF">2023-07-24T17:18:00Z</dcterms:modified>
</cp:coreProperties>
</file>