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fe9eccw1rp8" w:id="0"/>
      <w:bookmarkEnd w:id="0"/>
      <w:r w:rsidDel="00000000" w:rsidR="00000000" w:rsidRPr="00000000">
        <w:rPr>
          <w:rtl w:val="0"/>
        </w:rPr>
        <w:t xml:space="preserve">SPORTBUD — FUTURE VISION &amp; PRODUCT EXPANSION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 dokument popisuje dlouhodobou vizi značky Sportbud a směr, kterým by se měl produkt v budoucnu vyvíjet.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Nejde o scope MVP.</w:t>
        <w:br w:type="textWrapping"/>
        <w:t xml:space="preserve"> Cílem je: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aby architektura nového webu s těmito možnostmi počítala,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aby budoucí rozvoj nebyl technologicky blokovaný,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aby Codex chápal dlouhodobé ambice projektu.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pxobza4kwwij" w:id="1"/>
      <w:bookmarkEnd w:id="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1. DLOUHODOBÁ VIZE ZNAČKY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se chce stát: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8hdlt0ld6evg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největší sportovní pub kvíz komunitou v Česku.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Nejde pouze o organizaci eventů.</w:t>
        <w:br w:type="textWrapping"/>
        <w:t xml:space="preserve"> Cílem je vytvořit: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komunitní platformu,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pravidelný sportovní ritual,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dlouhodobý ekosystém kolem sportovních fanoušků.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c9mpuhvbanjx" w:id="3"/>
      <w:bookmarkEnd w:id="3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2. HLAVNÍ PRODUKT DO BUDOUCNA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quz8naez8w8m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Sportbud Meeting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zůstává hlavním produktem značky.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Dlouhodobý cíl: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</w:rPr>
      </w:pPr>
      <w:bookmarkStart w:colFirst="0" w:colLast="0" w:name="_cd816b4krgh5" w:id="5"/>
      <w:bookmarkEnd w:id="5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26"/>
          <w:szCs w:val="26"/>
          <w:rtl w:val="0"/>
        </w:rPr>
        <w:t xml:space="preserve">sportovní pub kvízy po celé ČR.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Budoucí expanze: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další města,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další podniky,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více paralelních eventů,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více sezón,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větší komunita.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Architektura webu i systému musí počítat s: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multi-location správou,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více podniky,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více organizátory,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škálováním eventů.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ftz6x3rrr2se" w:id="6"/>
      <w:bookmarkEnd w:id="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3. ONLINE VRSTVA &amp; GAMIFIKACE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nemá fungovat jen offline.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Velkou součástí budoucnosti je: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3n5kmxdbotir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online gamifikace sportovních znalostí.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po5wlqndzl2x" w:id="8"/>
      <w:bookmarkEnd w:id="8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4. STARÉ KVÍZY ONLINE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Budoucí funkcionalita:</w:t>
        <w:br w:type="textWrapping"/>
        <w:t xml:space="preserve"> uživatel si může: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otevřít starý kvíz,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projít si otázky,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odpovídat online,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získat body,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porovnat výsledek s ostatními.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Cíl: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zvýšit engagement,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vracet uživatele na web,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budovat komunitní vrstvu i mimo eventy.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gmcl23lpplav" w:id="9"/>
      <w:bookmarkEnd w:id="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5. LEADERBOARDY &amp; RANKING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Budoucí systém může obsahovat: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globální leaderboard,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týmové pořadí,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individuální statistiky,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sezónní ranky,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achievementy,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streaks,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historii výsledků.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Gamifikace má působit: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zábavně,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komunitně,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motivačně,</w:t>
        <w:br w:type="textWrapping"/>
        <w:t xml:space="preserve"> nikoliv jako hardcore esport systém.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qdkbsj3d480k" w:id="10"/>
      <w:bookmarkEnd w:id="10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6. UŽIVATELSKÉ PROFILY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budoucna může vzniknout: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vbwkhlrb6j5s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hráčský účet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historie účastí,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výsledky,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oblíbené podniky,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statistiky,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týmová historie,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 tím nemusí pracovat, ale databázová a produktová architektura by měla umožnit budoucí rozšíření.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u6fh1dro2t7d" w:id="12"/>
      <w:bookmarkEnd w:id="12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7. FIREMNÍ &amp; PRIVÁTNÍ EVENTY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Budoucí produktová větev: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z6djry8tjph8" w:id="13"/>
      <w:bookmarkEnd w:id="13"/>
      <w:r w:rsidDel="00000000" w:rsidR="00000000" w:rsidRPr="00000000">
        <w:rPr>
          <w:color w:val="000000"/>
          <w:sz w:val="34"/>
          <w:szCs w:val="34"/>
          <w:rtl w:val="0"/>
        </w:rPr>
        <w:t xml:space="preserve">Sportbud na zakázku.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Firmy, značky nebo organizátoři akcí si budou moct: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objednat sportovní pub kvíz,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najmout Sportbud na firemní akci,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využít custom event formáty.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Příklady: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teambuildingy,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firemní večery,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sportovní eventy,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festivaly,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zóny,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partnerské aktivace.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by měl být připravený: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obsahově,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produktově,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strukturou,</w:t>
        <w:br w:type="textWrapping"/>
        <w:t xml:space="preserve"> na budoucí landing pages pro tento typ služeb.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58b7d33btebi" w:id="14"/>
      <w:bookmarkEnd w:id="14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8. DYNAMICKÉ KVÍZOVÉ FORMÁTY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budoucna může Sportbud využívat: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vqos9vvjcu" w:id="15"/>
      <w:bookmarkEnd w:id="15"/>
      <w:r w:rsidDel="00000000" w:rsidR="00000000" w:rsidRPr="00000000">
        <w:rPr>
          <w:color w:val="000000"/>
          <w:sz w:val="34"/>
          <w:szCs w:val="34"/>
          <w:rtl w:val="0"/>
        </w:rPr>
        <w:t xml:space="preserve">rychlé interaktivní formáty typu Kahoot.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Například: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bonusová kola,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halftime mini games,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hlasování,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mobilní soutěže,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scoreboards,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engagement.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Nejde o prioritu MVP, ale:</w:t>
        <w:br w:type="textWrapping"/>
        <w:t xml:space="preserve"> architektura by měla počítat s možností realtime interakcí a budoucích interaktivních modulů.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m7aqb69wvv0d" w:id="16"/>
      <w:bookmarkEnd w:id="16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9. CONTENT &amp; MEDIA VRSTVA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budoucna může značka rozšířit obsah o: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sportovní content,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reels,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krátká videa,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highlighty z eventů,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moments,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sportovní mini formáty,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sociální content.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by měl být připraven: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práci s multimédii,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social-first contentem,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dynamickými sekcemi.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u0meavpqzob5" w:id="17"/>
      <w:bookmarkEnd w:id="17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10. KOMUNITNÍ PLATFORM THINKING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Dlouhodobě by měl Sportbud fungovat spíš jako: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d02ff5rqn7mj" w:id="18"/>
      <w:bookmarkEnd w:id="18"/>
      <w:r w:rsidDel="00000000" w:rsidR="00000000" w:rsidRPr="00000000">
        <w:rPr>
          <w:color w:val="000000"/>
          <w:sz w:val="34"/>
          <w:szCs w:val="34"/>
          <w:rtl w:val="0"/>
        </w:rPr>
        <w:t xml:space="preserve">sportovní komunita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než pouze „organizátor eventů“.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Klíčové prvky budoucnosti: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komunita,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rivalita,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identita týmů,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pravidelná účast,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mimo eventy,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návratovost uživatelů.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smu8fhgxr6me" w:id="19"/>
      <w:bookmarkEnd w:id="19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11. PRODUKTOVÝ PRINCIP DO BUDOUCNA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Velmi důležité: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color w:val="000000"/>
          <w:sz w:val="34"/>
          <w:szCs w:val="34"/>
        </w:rPr>
      </w:pPr>
      <w:bookmarkStart w:colFirst="0" w:colLast="0" w:name="_oxsc5hlhm8he" w:id="20"/>
      <w:bookmarkEnd w:id="20"/>
      <w:r w:rsidDel="00000000" w:rsidR="00000000" w:rsidRPr="00000000">
        <w:rPr>
          <w:color w:val="000000"/>
          <w:sz w:val="34"/>
          <w:szCs w:val="34"/>
          <w:rtl w:val="0"/>
        </w:rPr>
        <w:t xml:space="preserve">nepřestřelit MVP.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První verze webu má být: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jednoduchá,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rychlá,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stabilní,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dobře škálovatelná.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Budoucí vrstvy: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gamifikace,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profily,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kvízy,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systémy,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rankingy,</w:t>
        <w:br w:type="textWrapping"/>
        <w:t xml:space="preserve"> mají být přidávány postupně.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</w:rPr>
      </w:pPr>
      <w:bookmarkStart w:colFirst="0" w:colLast="0" w:name="_vkczn7jwqpt9" w:id="21"/>
      <w:bookmarkEnd w:id="21"/>
      <w:r w:rsidDel="00000000" w:rsidR="00000000" w:rsidRPr="00000000">
        <w:rPr>
          <w:rFonts w:ascii="Nunito Sans" w:cs="Nunito Sans" w:eastAsia="Nunito Sans" w:hAnsi="Nunito Sans"/>
          <w:b w:val="1"/>
          <w:bCs w:val="1"/>
          <w:color w:val="000000"/>
          <w:sz w:val="46"/>
          <w:szCs w:val="46"/>
          <w:rtl w:val="0"/>
        </w:rPr>
        <w:t xml:space="preserve">12. CO MUSÍ AI POCHOPIT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Sportbud není jednorázový web.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to: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základ budoucí platformy,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komunitní sportovní ekosystém,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značka s potenciálem růstu po celé ČR,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produkt postavený na pravidelné interakci lidí.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je pouze první krok.</w:t>
        <w:br w:type="textWrapping"/>
        <w:t xml:space="preserve"> Ale technologie, architektura a UX musí umožnit dlouhodobý rozvoj bez nutnosti celý systém za dva roky přepisovat.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Nunito Sans Black">
    <w:embedBold w:fontKey="{00000000-0000-0000-0000-000000000000}" r:id="rId1" w:subsetted="0"/>
    <w:embedBoldItalic w:fontKey="{00000000-0000-0000-0000-000000000000}" r:id="rId2" w:subsetted="0"/>
  </w:font>
  <w:font w:name="Nunito Sans SemiBol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uni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 Sans" w:cs="Nunito Sans" w:eastAsia="Nunito Sans" w:hAnsi="Nunito San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Nunito Sans Black" w:cs="Nunito Sans Black" w:eastAsia="Nunito Sans Black" w:hAnsi="Nunito Sans Black"/>
      <w:color w:val="041562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11468f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0" w:firstLine="0"/>
    </w:pPr>
    <w:rPr>
      <w:rFonts w:ascii="Nunito Sans SemiBold" w:cs="Nunito Sans SemiBold" w:eastAsia="Nunito Sans SemiBold" w:hAnsi="Nunito Sans SemiBold"/>
      <w:color w:val="11468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firstLine="0"/>
    </w:pPr>
    <w:rPr>
      <w:rFonts w:ascii="Nunito Sans Black" w:cs="Nunito Sans Black" w:eastAsia="Nunito Sans Black" w:hAnsi="Nunito Sans Black"/>
      <w:color w:val="ad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Black-bold.ttf"/><Relationship Id="rId2" Type="http://schemas.openxmlformats.org/officeDocument/2006/relationships/font" Target="fonts/NunitoSansBlack-boldItalic.ttf"/><Relationship Id="rId3" Type="http://schemas.openxmlformats.org/officeDocument/2006/relationships/font" Target="fonts/NunitoSansSemiBold-regular.ttf"/><Relationship Id="rId4" Type="http://schemas.openxmlformats.org/officeDocument/2006/relationships/font" Target="fonts/NunitoSansSemiBold-bold.ttf"/><Relationship Id="rId10" Type="http://schemas.openxmlformats.org/officeDocument/2006/relationships/font" Target="fonts/NunitoSans-boldItalic.ttf"/><Relationship Id="rId9" Type="http://schemas.openxmlformats.org/officeDocument/2006/relationships/font" Target="fonts/NunitoSans-italic.ttf"/><Relationship Id="rId5" Type="http://schemas.openxmlformats.org/officeDocument/2006/relationships/font" Target="fonts/NunitoSansSemiBold-italic.ttf"/><Relationship Id="rId6" Type="http://schemas.openxmlformats.org/officeDocument/2006/relationships/font" Target="fonts/NunitoSansSemiBold-boldItalic.ttf"/><Relationship Id="rId7" Type="http://schemas.openxmlformats.org/officeDocument/2006/relationships/font" Target="fonts/NunitoSans-regular.ttf"/><Relationship Id="rId8" Type="http://schemas.openxmlformats.org/officeDocument/2006/relationships/font" Target="fonts/Nuni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