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Microsoft YaHei" w:hAnsi="Microsoft YaHei" w:eastAsia="Microsoft YaHei"/>
          <w:b/>
          <w:sz w:val="60"/>
        </w:rPr>
        <w:t>{{REPORT_TITLE}}</w:t>
      </w:r>
    </w:p>
    <w:p>
      <w:pPr>
        <w:spacing w:after="1200"/>
        <w:jc w:val="center"/>
      </w:pPr>
      <w:r>
        <w:rPr>
          <w:rFonts w:ascii="Microsoft YaHei" w:hAnsi="Microsoft YaHei" w:eastAsia="Microsoft YaHei"/>
          <w:b w:val="0"/>
          <w:sz w:val="26"/>
        </w:rPr>
        <w:t>企业级 Generative Engine Optimization 客户交付报告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sz w:val="24"/>
        </w:rPr>
        <w:t>交付企业：{{COMPANY_NAME}}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sz w:val="24"/>
        </w:rPr>
        <w:t>报告日期：{{REPORT_DATE}}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sz w:val="24"/>
        </w:rPr>
        <w:t>报告版本：{{REPORT_VERSION}}</w:t>
      </w:r>
    </w:p>
    <w:p>
      <w:r>
        <w:br w:type="page"/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