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  <Override PartName="/word/media/rId66.png" ContentType="image/png"/>
  <Override PartName="/word/media/rId76.png" ContentType="image/png"/>
  <Override PartName="/word/media/rId69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http://schemas.openxmlformats.org/officeDocument/2006/math" xmlns:ns3="http://schemas.openxmlformats.org/drawingml/2006/wordprocessingDrawing"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>
  <w:body>
    <w:bookmarkStart w:id="20" w:name="abbreviations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ПЕРЕЧЕНЬ УСЛОВНЫХ ОБОЗНАЧЕНИЙ И СОКРАЩЕНИЙ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АПК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агропромышленный комплекс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БПЛА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беспилотный летательный аппарат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БДУ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банк данных угроз (ФСТЭК России)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ВКР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выпускная квалификационная работа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ГИА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государственная итоговая аттестация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ГНСС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глобальная навигационная спутниковая система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ИБ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информационная безопасность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КФС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киберфизическая система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критическая информационная инфраструктура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НСУ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наземная станция управления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РЭБ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радиоэлектронная борьба (зона радиоэлектронного подавления)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ФСТЭК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Федеральная служба по техническому и экспортному контролю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API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Application Programming Interface (программный интерфейс приложения)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CAGR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Compound Annual Growth Rate (среднегодовой темп роста)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CVRP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Capacitated Vehicle Routing Problem (задача маршрутизации транспортных средств с ограничениями)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FPR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False Positive Rate (доля ложноположительных срабатываний)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GPS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Global Positioning System (глобальная система позиционирования)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IRM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Integrated Reliability Metric (интегральный критерий надёжности миссии)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JWT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JSON Web Token (токен аутентификации)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MITRE ATT&amp;CK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база знаний тактик и техник кибератак (MITRE Corporation)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MVP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Minimum Viable Product (минимально жизнеспособный продукт)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REST API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Representational State Transfer API (архитектурный стиль веб-сервисов)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RWVD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Risk-Weighted Voronoi Decomposition (взвешенная декомпозиция Вороного с учётом риска)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SaaS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Software as a Service (программное обеспечение как услуга)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SITL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Software In The Loop (симуляция встроенного программного обеспечения)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TTD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Time To Detect (время обнаружения угрозы)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TTR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Time To Respond (время реагирования на угрозу)</w:t>
      </w:r>
    </w:p>
    <w:bookmarkEnd w:id="20"/>
    <w:bookmarkStart w:id="22" w:name="ux432ux432ux435ux434ux435ux43dux438ux435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ВВЕДЕНИЕ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Цифровизация агропромышленного комплекса (АПК) является одним из стратегических приоритетов современной экономики. В рамках парадигмы «точного земледелия» беспилотные летательные аппараты (БПЛА) превратились в ключевой инструмент мониторинга посевов, аэрофотосъёмки и прецизионного внесения агрохимикатов; современные обзоры подчёркивают, что агродроны уже применяются как для дистанционного зондирования, так и для точечного внесения средств защиты растений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1, 2, 3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По данным MarketsandMarkets, мировой рынок агро-дронов составлял около 2,63 млрд долл. США в 2025 году и прогнозируется к росту до 10,76 млрд долл. к 2030 году при среднегодовом темпе роста 32,6 %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Схожие тенденции фиксируют Fortune Business Insights: объём рынка в 2024 году оценивался в 6,10 млрд долл. при прогнозе роста до 23,78 млрд долл. к 2032 году (CAGR 18,5 %)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5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Российский сегмент демонстрирует ежегодный рост не менее 20 %, что обусловлено государственными программами поддержки цифрового земледелия и уходом с рынка ряда зарубежных поставщиков агротехники.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Интеграция БПЛА в ИТ-инфраструктуру агропредприятий принципиально меняет поверхность кибератак. Беспилотный аппарат представляет собой киберфизическую систему (КФС), в которой программные уязвимости непосредственно трансформируются в физические последствия: несанкционированное управление химической нагрузкой, отклонение от маршрута или полная потеря аппарата. Исследования в области безопасности БПЛА фиксируют уязвимости на всех уровнях — аппаратном, программном, протокольном и сенсорном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6, 7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Особую озабоченность вызывает протокол MAVLink, де-факто являющийся стандартом связи между дроном и наземной станцией управления (НСУ): в базовой конфигурации он не обеспечивает ни шифрования данных, ни аутентификации источника сообщений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Атаки на навигационные подсистемы — GPS/ГЛОНАСС-глушение и спуфинг — получили значительное распространение в академических исследованиях и реальных инцидентах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Актуальность темы усиливается ужесточением требований регуляторов в области информационной безопасности. Указ Президента Российской Федерации от 01.05.2022 № 250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возложил персональную ответственность руководителей организаций за состояние защиты информации, а Указ Президента Российской Федерации от 30.03.2022 № 166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закрепил курс на технологическую независимость и безопасность значимых объектов критической информационной инфраструктуры. ФСТЭК России в «Методике оценки угроз безопасности информации» (2021 г.)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установила единую обязательную методологию построения моделей угроз для государственных и критически важных информационных систем. Агропредприятия, выполняющие химическую обработку угодий с применением БПЛА, фактически управляют потенциально опасным технологическим объектом, что ставит вопрос об их соответствии требованиям к защите АСУ ТП.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Существующие коммерческие платформы управления агро-БПЛА — DJI FlightHub 2, DroneDeploy, Pix4Dfields — не решают задачу планирования маршрутов с учётом динамически изменяющейся киберугрозовой обстановки. Современные обзоры по БПЛА в точном земледелии подробно рассматривают сенсоры, связь, ИИ и энергоэффективность, но не закрывают прикладной сценарий автоматического перепланирования при появлении новой зоны радиоэлектронного подавления или потере отдельного дрона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Таким образом, отсутствие комплексного подхода к обеспечению информационной безопасности агро-БПЛА при очевидной критичности последствий инцидентов формирует актуальную научно-практическую проблему, решению которой посвящена настоящая выпускная квалификационная работа студента (ВКРС).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Объект исследования — информационная безопасность киберфизической инфраструктуры агропромышленного предприятия, эксплуатирующего парк беспилотных летательных аппаратов для задач точного земледелия.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Предмет исследования — угрозы доступности и навигационной целостности БПЛА, методы их систематизации и оценки, алгоритмы безопасной маршрутизации группы БПЛА и критерии оценки надёжности миссии.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Цель работы — разработка программной платформы автоматизированного планирования безопасных маршрутов для группы сельскохозяйственных БПЛА с учётом зон радиоэлектронного подавления, включающей модуль риск-ориентированной маршрутизации, механизм динамического перепланирования и эвристический контур обнаружения угроз по телеметрии MAVLink.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достижения поставленной цели решаются следующие задачи: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Провести анализ рынка агро-дронов и обосновать целевой сегмент потребителей платформы SafeAgriRoute.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Выполнить конкурентный анализ существующих решений (DJI FlightHub 2, DroneDeploy, Pix4Dfields) и определить технологическую нишу предлагаемого продукта.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Классифицировать нарушителей и систематизировать угрозы безопасности навигации и доступности БПЛА на основе Банка данных угроз ФСТЭК России.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Формализовать метрику оценки деструктивного воздействия R(x,y) и обосновать выбор приоритетных угроз для MVP.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Спроектировать архитектуру SaaS-платформы SafeAgriRoute: модели данных, REST API, WebSocket-контур телеметрии и MAVLink-интеграцию.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Разработать алгоритм Risk-Weighted Voronoi Decomposition и CVRP-планировщик на базе Google OR-Tools с системой штрафов за пролёт через зоны РЭБ.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Реализовать алгоритм динамического перепланирования миссии при потере дрона и при появлении новой зоны РЭБ.</w:t>
      </w:r>
    </w:p>
    <w:p>
      <w:pPr>
        <w:numPr>
          <w:ilvl w:val="0"/>
          <w:numId w:val="100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Провести сравнительный эксперимент и оценить эффективность предлагаемого подхода относительно базовой стратегии маршрутизации.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Научная новизна работы состоит в следующем. Во-первых, разработана детализированная модель угроз для гетерогенных групп агро-БПЛА, включающая полный охват векторов атак на навигацию (GPS/ГЛОНАСС Jamming/Spoofing) и каналы управления (MAVLink), с привязкой к реестру БДУ ФСТЭК России. Во-вторых, предложен алгоритм Risk-Weighted Voronoi Decomposition, объединяющий пространственное разбиение зоны покрытия с риск-ориентированной балансировкой нагрузки между дронами роя. В-третьих, разработан интегральный критерий надёжности миссии (IRM), учитывающий риски всех запланированных точек маршрута, и механизм его обновления при динамическом перепланировании в режиме реального времени.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Практическая значимость определяется тем, что разработанная платформа SafeAgriRoute реализована в виде полнофункционального MVP, развёртываемого одной командой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docker-compose up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Исходный код опубликован в открытом доступе по адресу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hyperlink r:id="rId21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</w:rPr>
          <w:t xml:space="preserve">https://github.com/matveisut/safe-agri-route</w:t>
        </w:r>
      </w:hyperlink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Система обеспечивает планирование маршрутов для поля площадью 500 га за ≤ 5 секунд и перепланирование в режиме реального времени за ≤ 500 миллисекунд для 4 дронов. Платформа протестирована посредством симуляции ArduPilot SITL и автономных Python-сценариев на модельном поле с параметрами типичного среднего агропредприятия.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Методологическую основу составляют: системный анализ, структурно-функциональное моделирование, Методика оценки угроз ФСТЭК России (2021 г.), ГОСТ Р МЭК 62443-2-1-2015, математические методы оптимизации комбинаторных задач (VRP, алгоритм Ллойда, эвристики OR-Tools), а также результаты научных публикаций из баз данных IEEE Xplore, Elsevier Computer Networks, Frontiers in Computer Science, IEEE Access, Aerospace и КиберЛенинка.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Структура работы. ВКРС состоит из введения, пяти разделов, заключения, списка использованных источников (43 наименования, из них 19 на иностранном языке). Введение обосновывает актуальность, формулирует цель, задачи и научную новизну. В разделе 1.1 проводится анализ рынка и конкурентной среды. В разделе 1.2 выполняется моделирование угроз и формализация метрики риска. В разделе 1.3 описывается архитектура платформы. В разделе 1.4 детально изложены разработанные алгоритмы. В разделе 1.5 представлены результаты экспериментальной оценки. Заключение суммирует достигнутые результаты и обозначает перспективы.</w:t>
      </w:r>
    </w:p>
    <w:bookmarkEnd w:id="22"/>
    <w:bookmarkStart w:id="80" w:name="X0a6bf418e4d6149003d1aa89a0ba3f5bf33e040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 ОБЩЕЕ ОПИСАНИЕ ПРОЕКТА</w:t>
      </w:r>
    </w:p>
    <w:bookmarkStart w:id="23" w:name="X6acf4378f98586ce69e7e108bb764e2c146511e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 Анализ рынка агро-дронов и конкурентная среда</w:t>
      </w:r>
    </w:p>
    <w:bookmarkEnd w:id="23"/>
    <w:bookmarkStart w:id="24" w:name="X367d2b8441b1996e5a840a2e8c509198b9db666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1.1.1 Прогноз роста мирового рынка агро-дронов</w:t>
      </w:r>
    </w:p>
    <w:bookmarkEnd w:id="24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Рынок беспилотных летательных аппаратов для агропромышленного комплекса является одним из наиболее динамично развивающихся сегментов глобальной агротехнологической индустрии. По оценке MarketsandMarkets, объём рынка агро-дронов составил около 2,63 млрд долл. США в 2025 году и при CAGR 32,6 % достигнет 10,76 млрд долл. к 2030 году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Данные Fortune Business Insights несколько расходятся по базовому году, но подтверждают общий тренд: рынок вырастет с 6,10 млрд долл. (2024 г.) до 23,78 млрд долл. к 2032 году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5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MRFR даёт более агрессивный прогноз — 70,58 млрд долл. к 2035 году при CAGR 24,46 %. Столь значительный разброс оценок обусловлен различиями в методологии — часть агентств включает в расчёт только аппаратную составляющую, другие охватывают весь стек «дрон + ПО + услуги». Тем не менее ни одна из аналитических компаний не прогнозирует CAGR ниже 18 %, что делает рынок агро-БПЛА одним из устойчивых долгосрочных трендов в агротехе.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1.1 — Прогнозы мирового рынка агро-дронов от ведущих аналитических агентств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Агентство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Базовый год / объём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Целевой год / прогноз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CAGR, %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MarketsandMarkets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2,63 млрд долл. (2025)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10,76 млрд долл. к 2030 г.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32,6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Fortune Business Insights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6,10 млрд долл. (2024)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23,78 млрд долл. к 2032 г.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18,5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Grand View Research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3,37 млрд долл. (2025)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21,59 млрд долл. к 2033 г.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26,5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MRFR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7,91 млрд долл. (2025)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70,58 млрд долл. к 2035 г.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24,5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IMARC Group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2,71 млрд долл. (2024)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31,88 млрд долл. к 2033 г.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28,0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Географически рынок агро-дронов концентрируется в трёх полюсах. Северная Америка занимает лидирующую позицию с долей 33,2–45 % в зависимости от источника, опираясь на развитую нормативную базу FAA и высокий уровень государственной поддержки точного земледелия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Азиатско-Тихоокеанский регион является наиболее быстрорастущим: Китай занимает первое место в мире по числу зарегистрированных агро-дронов, а компания XAG Co. Ltd входит в топ-5 мировых производителей по объёму продаж. Европа сохраняет долю около 30 % благодаря активному субсидированию агроинноваций в рамках программ Общей сельскохозяйственной политики ЕС. Российский сегмент, по экспертным оценкам, растёт темпом не менее 20 % в год в условиях государственных программ импортозамещения и субсидирования закупки отечественной агротехники.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Доминирующим типом аппаратов является роторный БПЛА (мультикоптер) — его доля в 2025 году составляла 43,7–61,7 % в зависимости от методологии подсчёта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Мультикоптеры превосходят самолётные схемы по манёвренности и способности зависать над точечными зонами обработки, что критически важно для дифференцированного внесения агрохимикатов на основе карт NDVI (Normalized Difference Vegetation Index), формируемых по результатам мультиспектральной аэрофотосъёмки. Основные сегменты применения: точное земледелие (34,7 % выручки в 2025 г.), картографирование и мониторинг посевов, управление ирригацией.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 опубликованным оценкам, применение БПЛА снижает расход агрохимикатов на 30–40 % по сравнению с опрыскиванием наземной техникой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13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Практический эффект здесь связан не только с самим фактом автоматизации: дрон вносит препарат точнее, поскольку маршрут и дозировка опираются на карты NDVI и фактическое состояние посевов на отдельных участках поля. Для хозяйства это даёт ещё два прикладных преимущества: можно работать на склонах и других неудобных участках, меньше уплотнять почву тяжёлой техникой и сократить ручной труд оператора примерно на 60–70 %.</w:t>
      </w:r>
    </w:p>
    <w:bookmarkStart w:id="25" w:name="X1d2916889e10d0131415442c34b0f73c3f5d24d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1.1.2 Целевая аудитория и профиль типового потребителя</w:t>
      </w:r>
    </w:p>
    <w:bookmarkEnd w:id="25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SafeAgriRoute рассчитан прежде всего на хозяйства среднего масштаба: 5 000–15 000 га и парк из 3–8 мультикоптеров грузоподъёмностью 10–20 кг. Этот диапазон выбран не формально. Крупные агрохолдинги с площадью свыше 50 000 га обычно уже содержат собственные ИТ-команды и внедряют корпоративные ERP-решения, а небольшие хозяйства до 1 000 га часто не выходят на окупаемость парка дронов: один мультикоптер-опрыскиватель стоит примерно от 900 000 до 2 500 000 рублей.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Профиль типового потребителя SafeAgriRoute включает: технического директора или главного агронома в роли лица, принимающего решение о закупке; трёх-пяти операторов БПЛА в качестве ключевых пользователей системы; ИТ-специалиста, совмещающего функции системного администратора и ответственного за информационную безопасность. Принципиально важно, что выбранный сегмент не располагает ресурсами для самостоятельной разработки и поддержки сложных ИБ-решений, что создаёт устойчивый спрос на облачные SaaS-платформы с встроенными функциями защиты.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Анализ болевых точек целевой аудитории позволяет выделить три ключевых «gap» существующих решений. Первый — отсутствие специализированных инструментов планирования маршрутов с учётом зон радиоэлектронного воздействия (РЭБ), что критично для регионов с нестабильной радиоэлектронной обстановкой; по данным ряда экспертов, случаи кратковременного глушения сигнала ГНСС в приграничных зонах фиксируются на юге России регулярно. Второй — невозможность автоматического перераспределения рабочей нагрузки между дронами при выходе из строя одного из аппаратов: операторы вынуждены останавливать всю миссию и перепланировать маршруты вручную. Третий — слабое соответствие существующих зарубежных платформ требованиям ФСТЭК России и Указу № 250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что фактически исключает их использование на предприятиях, подпадающих под сферу действия этих нормативных актов.</w:t>
      </w:r>
    </w:p>
    <w:bookmarkStart w:id="26" w:name="X0c0a9fa3f361c82115dfc6ef41da7b0c8be031a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1.1.3 Конкурентный анализ существующих платформ управления агро-БПЛА</w:t>
      </w:r>
    </w:p>
    <w:bookmarkEnd w:id="26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Рынок программных платформ для управления агро-БПЛА к 2025 году характеризуется умеренной фрагментацией с тенденцией к консолидации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Основными игроками являются DJI FlightHub 2, DroneDeploy, Pix4Dfields, Trimble AgData и ряд региональных разработчиков.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DJI FlightHub 2 — облачная платформа управления парком дронов, нативно интегрированная с аппаратной экосистемой DJI (Agras T50, T25, Matrice 30/4). Платформа обеспечивает планирование миссий, мониторинг телеметрии в реальном времени, хранение аэрофотоданных и удалённое управление через REST API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Основное ограничение — жёсткая привязка к экосистеме DJI: аппараты других производителей (XAG, отечественный «Агромастер») интегрируются лишь частично или не поддерживаются вовсе. Функции кибербезопасности сведены к стандартным ACL и шифрованию REST-трафика; механизмы обнаружения аномалий навигации и защиты открытого канала MAVLink отсутствуют. Планирование маршрутов осуществляется по простой зональной схеме без учёта зон РЭБ.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DroneDeploy — горизонтальная платформа, охватывающая строительство, энергетику и сельское хозяйство. В агросегменте позиционируется как инструмент создания ортофотопланов и карт NDVI с последующим формированием предписаний для дифференцированного внесения. В январе 2025 года DroneDeploy получил общенациональное разрешение на BVLOS-полёты в США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Основные недостатки: высокая стоимость (корпоративные планы — от 329 долл./мес.), отсутствие поддержки MAVLink и отсутствие ИБ-функций, специфичных для российского законодательства.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Pix4Dfields — специализированный продукт для агрономической аналитики. Обеспечивает быструю обработку снимков непосредственно в поле (on-device), генерацию карт NDVI/NDRE и prescription maps для дифференцированного внесения. Не позиционируется как платформа управления парком: функции планирования полётных заданий ограничены, поддержки нескольких одновременно летящих дронов нет, управление миссией в реальном времени отсутствует.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1.2 — Конкурентное сравнение ведущих платформ управления агро-БПЛА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Критерий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DJI FlightHub 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DroneDeploy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Pix4Dfields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SafeAgriRoute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Поддержка мультивендорного парка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Только DJI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Частичная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Ограниченная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Полная (MAVLink)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Управление химической нагрузкой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DJI-нативно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Да, с аудитом команд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Учёт зон РЭБ при планировании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 (Penalty-граф)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Автоматическое перепланирование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 (≤ 500 мс)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Обнаружение GPS-спуфинга/глушения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Эвристика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Соответствие Методике ФСТЭК 2021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Частично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 (модель угроз встроена)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Ценовая модель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 16 долл./мес./дрон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 329 долл./мес.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 83 долл./мес.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 8 000 руб./мес.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Поддержка ArduPilot/PX4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 (pymavlink)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Открытый исходный код ядра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 (OR-Tools, PostGIS)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Конкурентный анализ подтверждает наличие устойчивого технологического «gap»: ни одна из рассмотренных платформ не предоставляет функцию планирования маршрутов с учётом зон РЭБ, не реализует автоматического перепланирования при динамическом изменении обстановки и не адаптирована к российской нормативной базе в области ИБ. Именно в этом пространстве позиционируется SafeAgriRoute.</w:t>
      </w:r>
    </w:p>
    <w:bookmarkStart w:id="27" w:name="X79ec5a74806be2f73b1823785ca941a025c1613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1.1.4 SWOT-анализ SafeAgriRoute</w:t>
      </w:r>
    </w:p>
    <w:bookmarkEnd w:id="27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SWOT-анализ платформы SafeAgriRoute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Сильные стороны (S): нулевой FPR по пересечениям jammer-зон; единственная на рынке РФ risk-aware маршрутизация; Open-source ядро (OR-Tools, PostGIS) — нет лицензионных платежей; развёртывание одной командой docker-compose up; соответствие Методике ФСТЭК 2021.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Слабые стороны (W): MVP — только эвристический контур без ML-модели угроз; отсутствие мобильного приложения; ограничение на 4 одновременных дрона в текущей версии; нет сертификации ФСТЭК (требует времени и ресурсов).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Возможности (O): рост рынка агро-БПЛА в РФ ≥ 20 % в год; уход DJI с ряда сегментов — открытая ниша; государственные субсидии (до 50 % стоимости ПО); ужесточение требований регуляторов (Указ № 250) стимулирует спрос на ИБ-платформы.</w:t>
      </w:r>
    </w:p>
    <w:p>
      <w:pPr>
        <w:numPr>
          <w:ilvl w:val="0"/>
          <w:numId w:val="100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Угрозы (T): возможный выход глобальных игроков (DJI FlightHub) на российскую нормативную базу; риск форк open-source ядра конкурентами; длительный цикл принятия решений в АПК (12–18 мес.); зависимость от ArduPilot/PX4 как платформы.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Из SWOT-анализа следует, что главное преимущество SafeAgriRoute в ближайшей перспективе сохраняется: на российском рынке пока нет прямого аналога risk-aware маршрутизации для агро-БПЛА. Самый заметный риск связан не с технологией, а с продажами: в АПК решение о внедрении может растягиваться на 12–18 месяцев. Поэтому в модели вывода на рынок сделан упор на партнёрства с региональными дистрибьюторами агротехники, у которых уже есть доверие со стороны хозяйств.</w:t>
      </w:r>
    </w:p>
    <w:bookmarkStart w:id="28" w:name="Xf286a801dfd89ba30ab20d6e2f3e470b1c5ed14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1.1.5 Позиционирование SafeAgriRoute и бизнес-модель</w:t>
      </w:r>
    </w:p>
    <w:bookmarkEnd w:id="28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SafeAgriRoute рассматривается как SaaS-платформа для безопасного управления агро-БПЛА на российском рынке, где приходится учитывать требования ФСТЭК России и Указа № 250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Её отличие от типовых систем управления полётами состоит в том, что маршрут строится с учётом риска: дрон не просто обходит геометрические препятствия, а избегает зон радиоэлектронного подавления и получает новый маршрут при изменении обстановки. Для заказчика ценность решения складывается из трёх практических эффектов: ниже риск навигационных и протокольных атак, выше полезное покрытие поля при разумной длине маршрутов, проще обосновать соответствие внутренним и регуляторным требованиям.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Архитектура разделена на три уровня. На борту работает облегчённый агент для ArduPilot: он включает подпись пакетов MAVLink v2.0, добавляет метки доверенности к телеметрии и выполняет первичную проверку навигационных аномалий. На наземной станции размещается граничный узел, который локально обрабатывает телеметрию и хранит полётные задания на случай потери связи с облаком. Облачный уровень отвечает за диспетчеризацию парка, риск-ориентированное планирование маршрутов, API-шлюз и панель мониторинга ИБ.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Бизнес-модель SafeAgriRoute построена на принципе SaaS + Professional Services.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1.3 — Тарифные планы SafeAgriRoute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Тариф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Число БПЛА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Цена, руб./мес.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Ключевые функции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Старт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До 3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8 000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Диспетчер + базовая телеметрия + планирование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Бизнес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4-8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18 000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Эвристика угроз + MAVLink-интеграция + перепланирование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Про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9-20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35 000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SIEM-интеграция + API + SLA 99,9 %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Корпоратив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Свыше 20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 договору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On-premise + аудит ИБ + СКЗИ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Юнит-экономика для базового клиента (6 дронов, тариф «Бизнес»): ARR — 216 000 руб./год. CAC (стоимость привлечения клиента) оценивается в 45 000 руб. при LTV 432 000 руб. за 24 мес. — соотношение LTV/CAC составляет 9,6, что соответствует показателям зрелого SaaS-бизнеса. Стратегия выхода на рынок предполагает три этапа: MVP для демо-партнёра в Ставропольском крае (2026), тиражирование в регионе СКФО (2027), федеральное масштабирование (2028–2029).</w:t>
      </w:r>
    </w:p>
    <w:bookmarkStart w:id="29" w:name="X2d436bdfded54eeddb53d32e390c72a13cf9ae1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1.1.6 TAM / SAM / SOM и финансовая модель</w:t>
      </w:r>
    </w:p>
    <w:bookmarkEnd w:id="29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TAM (Total Addressable Market) — совокупный адресуемый рынок ПО управления агро-БПЛА в России составляет, по оценкам, 2,1–2,8 млрд руб./год к 2027 году при ~8 000 эксплуатируемых агро-БПЛА и средней цене платформы 220 000 руб./год.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SAM (Serviceable Addressable Market) — агропредприятия площадью 5 000–50 000 га с парком 3–8 MAVLink-совместимых дронов в ЮФО и СКФО: ~1 850 хозяйств × 216 000 руб./год = ~400 млн руб./год.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SOM (Serviceable Obtainable Market) — при проникновении 5 % SAM за 3 года: 20 млн руб./год к 2029 г.; при выходе на 15 % SAM — 60 млн руб./год. Источник финансирования первого года: участие в конкурсе «Стартап как диплом», гранты Фонда содействия инновациям («Умник»), собственные средства команды.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Финансовый прогноз SafeAgriRoute (тыс. руб.)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Число клиентов: 2026 (MVP): 3; 2027: 25; 2028: 90.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ARR: 2026 (MVP): 648; 2027: 5 400; 2028: 18 000.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COGS (хостинг, поддержка): 2026 (MVP): 380; 2027: 1 800; 2028: 5 400.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Gross Profit: 2026 (MVP): 268; 2027: 3 600; 2028: 12 600.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Gross Margin, %: 2026 (MVP): 41 %; 2027: 67 %; 2028: 70 %.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Операционные расходы: 2026 (MVP): 1 200; 2027: 3 000; 2028: 7 200.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EBITDA: 2026 (MVP): −932; 2027: +600; 2028: +5 400.</w:t>
      </w:r>
    </w:p>
    <w:p>
      <w:pPr>
        <w:numPr>
          <w:ilvl w:val="0"/>
          <w:numId w:val="100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Точка безубыточности: 2026 (MVP): —; 2027: Q2 2027 (12 клиентов); 2028: —.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Точка безубыточности достигается при ~12 клиентах на тарифе «Бизнес» (ARR ~2,6 млн руб.), покрывающих постоянные расходы на инфраструктуру и поддержку. Привлечение первых 3 клиентов (2026) обеспечивается партнёрством с ГБНУ «Ставропольский НИИСХ» и агропредприятиями Ставропольского края, с которыми проведены предварительные переговоры в марте–апреле 2026 г.</w:t>
      </w:r>
    </w:p>
    <w:bookmarkStart w:id="30" w:name="Xfc168293f917cb35cea53a936a87e41d42032aa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1.1.7 Customer Discovery и подтверждение спроса</w:t>
      </w:r>
    </w:p>
    <w:bookmarkEnd w:id="30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январе–апреле 2026 г. проведены 7 глубинных интервью с представителями целевой аудитории: главными агрономами и техническими директорами агропредприятий Ставропольского края (4 хозяйства площадью 4 500–18 000 га, 2 агросервисных компании-оператора, 1 дистрибьютор агро-БПЛА). Ключевые выводы:</w:t>
      </w:r>
    </w:p>
    <w:p>
      <w:pPr>
        <w:numPr>
          <w:ilvl w:val="0"/>
          <w:numId w:val="100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100 % респондентов сталкивались с кратковременными потерями GPS-сигнала дронами (от 1–2 раз в сезон до еженедельных случаев в приграничных районах).</w:t>
      </w:r>
    </w:p>
    <w:p>
      <w:pPr>
        <w:numPr>
          <w:ilvl w:val="0"/>
          <w:numId w:val="100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86 % (6/7) указали отсутствие автоматического перепланирования при потере дрона как критический недостаток существующих систем.</w:t>
      </w:r>
    </w:p>
    <w:p>
      <w:pPr>
        <w:numPr>
          <w:ilvl w:val="0"/>
          <w:numId w:val="100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71 % (5/7) выразили готовность рассмотреть подключение к пилоту SafeAgriRoute при наличии SLA 99,5 % и ценового диапазона до 25 000 руб./мес.</w:t>
      </w:r>
    </w:p>
    <w:p>
      <w:pPr>
        <w:numPr>
          <w:ilvl w:val="0"/>
          <w:numId w:val="100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Основной барьер к покупке — необходимость интеграции с существующими учётными системами (1С:Агропредприятие).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 основании результатов интервью скорректированы: ценовой диапазон тарифов (снижен с 22 000 до 18 000 руб./мес. для тарифа «Бизнес»), приоритет roadmap (интеграция с 1С вынесена в версию 2.0).</w:t>
      </w:r>
    </w:p>
    <w:bookmarkStart w:id="31" w:name="X98d626089520143fafeb07c029258c8c952c084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1.1.8 Команда стартапа и Roadmap</w:t>
      </w:r>
    </w:p>
    <w:bookmarkEnd w:id="31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Состав команды:</w:t>
      </w:r>
    </w:p>
    <w:p>
      <w:pPr>
        <w:numPr>
          <w:ilvl w:val="0"/>
          <w:numId w:val="100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Tech Lead / Backend: Участник: Сутормин М.П.; Компетенции: Алгоритмы VRP, FastAPI, MAVLink-интеграция, ИБ-архитектура.</w:t>
      </w:r>
    </w:p>
    <w:p>
      <w:pPr>
        <w:numPr>
          <w:ilvl w:val="0"/>
          <w:numId w:val="100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Frontend / ИБ-модуль: Участник: Яковенко В.С.; Компетенции: React, Leaflet, JWT-аутентификация, пентест веб-платформы.</w:t>
      </w:r>
    </w:p>
    <w:p>
      <w:pPr>
        <w:numPr>
          <w:ilvl w:val="0"/>
          <w:numId w:val="100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Научный руководитель: Участник: Петренко В.И.; Компетенции: ИБ БПЛА, модели угроз, консультации по ФСТЭК.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Команда обладает полным стеком компетенций для MVP. Для тиражирования (2027) запланировано привлечение DevOps-инженера и менеджера по работе с клиентами из АПК.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Roadmap SafeAgriRoute:</w:t>
      </w:r>
    </w:p>
    <w:p>
      <w:pPr>
        <w:numPr>
          <w:ilvl w:val="0"/>
          <w:numId w:val="100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v1.0 (MVP): Срок: Q2 2026; Ключевые функции: RWVD + OR-Tools CVRP + replanner + эвристика угроз + JWT.</w:t>
      </w:r>
    </w:p>
    <w:p>
      <w:pPr>
        <w:numPr>
          <w:ilvl w:val="0"/>
          <w:numId w:val="100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v1.5: Срок: Q4 2026; Ключевые функции: Мобильное приложение (React Native); offline-режим на Edge Node.</w:t>
      </w:r>
    </w:p>
    <w:p>
      <w:pPr>
        <w:numPr>
          <w:ilvl w:val="0"/>
          <w:numId w:val="100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v2.0: Срок: Q2 2027; Ключевые функции: ML-детектор угроз (LSTM); интеграция 1С:Агропредприятие; до 8 дронов.</w:t>
      </w:r>
    </w:p>
    <w:p>
      <w:pPr>
        <w:numPr>
          <w:ilvl w:val="0"/>
          <w:numId w:val="100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v2.5: Срок: Q4 2027; Ключевые функции: Haversine-расстояние; 3D-маршрутизация с ЦМР SRTM; SIEM-интеграция.</w:t>
      </w:r>
    </w:p>
    <w:p>
      <w:pPr>
        <w:numPr>
          <w:ilvl w:val="0"/>
          <w:numId w:val="100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v3.0: Срок: 2028; Ключевые функции: Сертификация ФСТЭК; On-premise развёртывание; федеральное масштабирование.</w:t>
      </w:r>
    </w:p>
    <w:bookmarkStart w:id="32" w:name="X268473539eaf2052e0e47fd275ebd94a37d3940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1.1.9 Экономический эффект внедрения для клиента (ROI)</w:t>
      </w:r>
    </w:p>
    <w:bookmarkEnd w:id="32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обоснования ценообразования рассчитан экономический эффект от внедрения SafeAgriRoute для типового агропредприятия — 8 000 га зерновых культур, парк 4 дронов Агромастер АМ-10.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Расчёт ROI внедрения SafeAgriRoute (8 000 га, 4 дрона)</w:t>
      </w:r>
    </w:p>
    <w:p>
      <w:pPr>
        <w:numPr>
          <w:ilvl w:val="0"/>
          <w:numId w:val="100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Расход пестицидов (−30 % NDVI-планирование): Без SafeAgriRoute: 4 800 тыс. руб.; С SafeAgriRoute: 3 360 тыс. руб.; Экономия/год: +1 440 тыс. руб..</w:t>
      </w:r>
    </w:p>
    <w:p>
      <w:pPr>
        <w:numPr>
          <w:ilvl w:val="0"/>
          <w:numId w:val="100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Потери от инцидентов GPS-глушения (1 дрон/сезон): Без SafeAgriRoute: 900 тыс. руб.; С SafeAgriRoute: 90 тыс. руб.; Экономия/год: +810 тыс. руб..</w:t>
      </w:r>
    </w:p>
    <w:p>
      <w:pPr>
        <w:numPr>
          <w:ilvl w:val="0"/>
          <w:numId w:val="100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Ручное перепланирование оператора (5 ч × 8 событий): Без SafeAgriRoute: 40 ч × 500 руб. = 20 тыс. руб.; С SafeAgriRoute: 0 (авто); Экономия/год: +20 тыс. руб..</w:t>
      </w:r>
    </w:p>
    <w:p>
      <w:pPr>
        <w:numPr>
          <w:ilvl w:val="0"/>
          <w:numId w:val="100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Суммарная экономия: Экономия/год: 2 270 тыс. руб./год.</w:t>
      </w:r>
    </w:p>
    <w:p>
      <w:pPr>
        <w:numPr>
          <w:ilvl w:val="0"/>
          <w:numId w:val="100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Стоимость тарифа «Бизнес»: Экономия/год: 216 тыс. руб./год.</w:t>
      </w:r>
    </w:p>
    <w:p>
      <w:pPr>
        <w:numPr>
          <w:ilvl w:val="0"/>
          <w:numId w:val="100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ROI: Экономия/год: ≈ 950 % за год.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LTV/CAC = 9,6 и ROI клиента ~950 % платформа обеспечивает убедительное обоснование ценообразования. Чувствительность ROI: даже при нулевой экономии на пестицидах (консервативный сценарий) только предотвращение одной потери дрона в сезон (900 тыс. руб.) в 4 раза перекрывает годовую стоимость подписки.</w:t>
      </w:r>
    </w:p>
    <w:bookmarkStart w:id="33" w:name="X4adc4195457cb32168dcf1063dc747542f3a9e4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 Анализ угроз и формализация метрики риска</w:t>
      </w:r>
    </w:p>
    <w:bookmarkEnd w:id="33"/>
    <w:bookmarkStart w:id="34" w:name="X1fb7986367ed91b6acb942dfa01f122a5ac2713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1.2.1 Классификация нарушителей</w:t>
      </w:r>
    </w:p>
    <w:bookmarkEnd w:id="34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соответствии с Методикой оценки угроз безопасности информации ФСТЭК России (2021 г.)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модель нарушителя описывает возможных субъектов угроз, их мотивацию, уровень технической подготовки и степень осведомлённости о защищаемом объекте. Систематизация нарушителей является необходимым этапом построения модели угроз: от профиля нарушителя зависят вектор и сложность атаки, а следовательно — приоритет контрмер.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агропредприятия с парком агро-БПЛА выделяется пять типов нарушителей (Н1–Н5).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1.4 — Классификация потенциальных нарушителей (по Методике ФСТЭК России, 2021 г.)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Идентификатор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Тип нарушителя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Потенциал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Мотивация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Примеры воздействий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Н1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Внешний, низкая квалификация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Низкий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Хулиганство, любопытство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GPS-глушилки из открытой продажи; перехват видеопотока SDR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Внешний, высокая квалификация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 / Высокий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Конкуренция, ущерб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MAVLink-инъекции; GPS-спуфинг; OWASP Top-10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Н3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Внутренний (инсайдер)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Корысть, обида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Подмена карт NDVI; передача телеметрии конкурентам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Н4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Внутренний (случайный)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Низкий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Отсутствует (ошибка)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Открытие фишинговых ссылок; использование дефолтных паролей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Н5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Государственный / APT-актор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Диверсия, разведка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Применение 0-day уязвимостей; комплексный вывод связи из строя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Нарушители Н1 и Н4 представляют наибольшую вероятность реализации угроз — вследствие массовой доступности оборудования (SDR-приёмники от 3 000 руб., GPS-глушители от 2 000 руб.) и человеческого фактора соответственно. Нарушители Н2 и Н3 несут наибольший потенциальный ущерб. Нарушитель Н5 фактически не нейтрализуется в рамках бюджета среднего агропредприятия и относится к «принятым рискам»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15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Существенно, что внутренний нарушитель (Н3) обладает преимуществом аутентифицированного доступа к системе управления и может осуществить атаку на целостность сенсорных данных или команд без необходимости взлома внешнего периметра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bookmarkStart w:id="35" w:name="X030b207b4af2145b1a4292d73994807e875c127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1.2.2 Систематизация угроз навигации и доступности БПЛА</w:t>
      </w:r>
    </w:p>
    <w:bookmarkEnd w:id="35"/>
    <w:bookmarkStart w:id="36" w:name="X420199a5bbfdf6066749e70c778446b1f41dddc"/>
    <w:p>
      <w:pPr>
        <w:pStyle w:val="Heading5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Угрозы навигационной подсистемы (GPS/ГЛОНАСС Jamming и Spoofing)</w:t>
      </w:r>
    </w:p>
    <w:bookmarkEnd w:id="36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Навигационная подсистема является критически важным компонентом любого автономного БПЛА: потеря или подмена координат непосредственно угрожает физической целостности аппарата и безопасности людей. Современные агро-дроны в штатном режиме используют сигналы ГНСС — GPS (L1 1575,42 МГц), ГЛОНАСС (L1 1602 МГц), а при наличии RTK-базовой станции — дифференциальные поправки RTCM-протокола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Угроза Н-НАВ-1. Глушение сигналов ГНСС (GPS/ГЛОНАСС Jamming). Идентификатор БДУ ФСТЭК: УБИ.131. Источник: нарушители Н1–Н5.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Сущность атаки: воздействие широкополосными помехами на рабочих частотах GPS (L1) и ГЛОНАСС (L1) подавляет навигационный сигнал. При потере сигнала ГНСС большинство автопилотов переходит в режим «hover» (зависание) или инициирует процедуру RTH (Return To Home), что может привести к зависанию дрона над людьми или к полному прерыванию миссии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17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Оборудование для глушения GPS широко доступно в свободной продаже и стоит от 2 000 рублей. Угроза характеризуется высокой вероятностью и высоким ущербом, что даёт критический уровень риска.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Угроза Н-НАВ-2. Подмена сигналов ГНСС (GPS/ГЛОНАСС Spoofing). Идентификатор БДУ ФСТЭК: УБИ.192. Источник: нарушители Н2–Н5.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Сущность атаки: злоумышленник генерирует поддельные ГНСС-сигналы с заданными координатами и навязывает их бортовому приёмнику. Инцидент 2012 года в Техасском университете, в ходе которого исследователи перехватили беспилотник ВМС США с помощью GPS-спуфера, наглядно демонстрирует практическую реализуемость атаки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Исследование Sun et al. (2023) показывает, что методы глубокого обучения позволяют обнаруживать GPS-спуфинг с точностью 98,7 % на лёгких БПЛА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Последствия: увод дрона на территорию конкурента или в неразрешённую зону; непреднамеренная обработка чужих угодий дорогостоящими пестицидами; физическое уничтожение аппарата при столкновении с препятствием. Уровень риска — высокий.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Работа Петренко и соавт. (2026)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демонстрирует, что при инициации спуфинга на данных инерциальных датчиков наблюдаются характерные аномальные всплески акселерометра и гироскопа, что открывает возможность детекции атаки на основе анализа временных рядов ИНС без привлечения внешних сигналов.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Угроза Н-НАВ-3. Атака на RTK-базовую станцию. Идентификатор БДУ ФСТЭК: УБИ.192. Источник: нарушители Н2–Н3. Перехват или фальсификация поправочных данных RTK (RTCM-протокол без аутентификации) приводит к накоплению ошибки позиционирования до нескольких метров. Вероятность — низкая; ущерб — средний; уровень риска — средний.</w:t>
      </w:r>
    </w:p>
    <w:bookmarkStart w:id="37" w:name="Xfeac382b4bee6f838c6561e89ba4ae26f6db2ab"/>
    <w:p>
      <w:pPr>
        <w:pStyle w:val="Heading5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Угрозы канала управления MAVLink</w:t>
      </w:r>
    </w:p>
    <w:bookmarkEnd w:id="37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Протокол MAVLink v2.0 является де-факто стандартом беспроводной связи между БПЛА и НСУ. Несмотря на поддержку опциональной подписи пакетов, данный механизм не активирован в большинстве коммерческих конфигураций, а шифрование содержимого стандартом не предусмотрено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Исследование Du et al. (2024)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экспериментально подтверждает практическую реализуемость перехвата управления серийными агро-дронами с применением доступного SDR-оборудования.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Идентифицированы четыре ключевые угрозы канала управления:</w:t>
      </w:r>
    </w:p>
    <w:p>
      <w:pPr>
        <w:numPr>
          <w:ilvl w:val="0"/>
          <w:numId w:val="100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Н-МАВ-1. Перехват управления (MAVLink Hijacking) (УБИ.014): злоумышленник перехватывает MAVLink-сессию и получает полный контроль над дроном. Наиболее критичная угроза в части последствий.</w:t>
      </w:r>
    </w:p>
    <w:p>
      <w:pPr>
        <w:numPr>
          <w:ilvl w:val="0"/>
          <w:numId w:val="100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Н-МАВ-2. Инъекция ложных команд (MAVLink Injection) (УБИ.014): вставка в поток управления команд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SET_MODE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MISSION_ITEM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 произвольными координатами. Работа Jeong et al. (2021)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описывает специализированную систему MUVIDS обнаружения таких инъекций.</w:t>
      </w:r>
    </w:p>
    <w:p>
      <w:pPr>
        <w:numPr>
          <w:ilvl w:val="0"/>
          <w:numId w:val="100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Н-МАВ-3. Атака повторного воспроизведения (Replay) (УБИ.014): захват пакетов MAVLink и их повторная отправка для воспроизведения ранее выполненной команды.</w:t>
      </w:r>
    </w:p>
    <w:p>
      <w:pPr>
        <w:numPr>
          <w:ilvl w:val="0"/>
          <w:numId w:val="100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Н-МАВ-4. DoS на радиоканал управления (УБИ.131): широкополосное или прицельное глушение частоты управляющего канала (2,4 ГГц / 5,8 ГГц), приводящее к потере управления.</w:t>
      </w:r>
    </w:p>
    <w:bookmarkStart w:id="38" w:name="X2a25bd9f0d798fe6f870d45b6ef14bafe3d3ae3"/>
    <w:p>
      <w:pPr>
        <w:pStyle w:val="Heading5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Угрозы уровня веб-платформы и облачной инфраструктуры</w:t>
      </w:r>
    </w:p>
    <w:bookmarkEnd w:id="38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Серверная часть SafeAgriRoute является веб-приложением на FastAPI и несёт все типовые риски OWASP Top-10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 инъекции (SQL, команды), нарушение аутентификации, раскрытие чувствительных данных, небезопасная десериализация. Петренко, Тебуева и соавт. (2025)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23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описывают методику обнаружения и противодействия многовекторным угрозам в децентрализованных IoT-средах, близких по архитектуре к инфраструктуре управления БПЛА.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Дополнительно следует выделить угрозу взлома учётной записи диспетчера (УБИ.037): получение JWT-токена оператора предоставляет злоумышленнику полный контроль над всеми функциями платформы — планированием маршрутов, запуском дронов, внесением изменений в зоны РЭБ. Хакеем и соавт. (2025)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анализируют подходы к интеграции систем искусственного интеллекта для улучшения защиты IoT-систем управления дронами, что подтверждает актуальность многоуровневой защиты.</w:t>
      </w:r>
    </w:p>
    <w:bookmarkStart w:id="39" w:name="X1d67dd85c72bf7f43106e9040080c60a78fe384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1.2.3 Матрица рисков и формализация метрики R(x,y)</w:t>
      </w:r>
    </w:p>
    <w:bookmarkEnd w:id="39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 основе анализа, проведённого в разделах 1.2.1–1.2.2, составлена сводная матрица рисков. Вероятность реализации угроз оценивается по трёхуровневой шкале (Низкая / Средняя / Высокая), потенциальный ущерб — также по трёхуровневой шкале. Уровень риска определяется произведением вероятности и ущерба в соответствии с Методикой ФСТЭК России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1.5 — Матрица рисков информационной безопасности агро-БПЛА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Угроза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Вероятность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Ущерб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Уровень риска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БДУ ФСТЭК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Нарушители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Глушение ГНСС-сигнала (Jamming)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Высокая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КРИТИЧЕСКИЙ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УБИ.131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Н1-Н5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Подмена GPS-координат (Spoofing)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УБИ.192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Н2-Н5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Перехват управления (MAVLink Hijacking)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Критический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КРИТИЧЕСКИЙ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УБИ.014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Н1-Н2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Инъекция ложных команд (Injection)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УБИ.014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Атака повторного воспроизведения (Replay)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Низкая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УБИ.014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Атака на RTK-базовую станцию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Низкая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УБИ.192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Н2-Н3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DoS на радиоканал управления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УБИ.131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Н1-Н5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Взлом учётной записи диспетчера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УБИ.037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Н2-Н4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DDoS на облачный сервер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УБИ.056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Н2, Н5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Атаки на веб-приложение (OWASP Top-10)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УБИ.037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Подмена карт NDVI / предписаний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Низкая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УБИ.159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Н2-Н3</w:t>
            </w:r>
          </w:p>
        </w:tc>
      </w:tr>
      <w:tr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Заражение НСУ вредоносным ПО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Средняя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Высокий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УБИ.101</w:t>
            </w:r>
          </w:p>
        </w:tc>
        <w:tc>
          <w:tcPr>
            <w:tcW w:w="160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Н2</w:t>
            </w:r>
          </w:p>
        </w:tc>
      </w:tr>
    </w:tbl>
    <w:bookmarkStart w:id="40" w:name="Xaca90b617080ba5545c58ea1c3a034a9612849f"/>
    <w:p>
      <w:pPr>
        <w:pStyle w:val="Heading5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Формализация метрики риска R(x,y)</w:t>
      </w:r>
    </w:p>
    <w:bookmarkEnd w:id="40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решения задачи маршрутизации с учётом угрозовой обстановки вводится дискретная карта рисков R(i,j) над сеткой поля. Каждая ячейка (i,j) сетки с шагом grid_step = 0,0002° (~22 м) получает значение риска R ∈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0, 1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зон глушения (jammer-зон) риск рассчитывается по формуле линейного затухания от границы зоны: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sSub>
            <ns2:e>
              <ns2:r>
                <ns2:t>r</ns2:t>
              </ns2:r>
            </ns2:e>
            <ns2:sub>
              <ns2:r>
                <ns2:rPr>
                  <ns2:sty ns2:val="p"/>
                </ns2:rPr>
                <ns2:t>j</ns2:t>
              </ns2:r>
              <ns2:r>
                <ns2:rPr>
                  <ns2:sty ns2:val="p"/>
                </ns2:rPr>
                <ns2:t>a</ns2:t>
              </ns2:r>
              <ns2:r>
                <ns2:rPr>
                  <ns2:sty ns2:val="p"/>
                </ns2:rPr>
                <ns2:t>m</ns2:t>
              </ns2:r>
              <ns2:r>
                <ns2:rPr>
                  <ns2:sty ns2:val="p"/>
                </ns2:rPr>
                <ns2:t>m</ns2:t>
              </ns2:r>
              <ns2:r>
                <ns2:rPr>
                  <ns2:sty ns2:val="p"/>
                </ns2:rPr>
                <ns2:t>e</ns2:t>
              </ns2:r>
              <ns2:r>
                <ns2:rPr>
                  <ns2:sty ns2:val="p"/>
                </ns2:rPr>
                <ns2:t>r</ns2:t>
              </ns2:r>
            </ns2:sub>
          </ns2:sSub>
          <ns2:d>
            <ns2:dPr>
              <ns2:begChr ns2:val="("/>
              <ns2:endChr ns2:val=")"/>
              <ns2:sepChr ns2:val=""/>
              <ns2:grow/>
            </ns2:dPr>
            <ns2:e>
              <ns2:r>
                <ns2:t>i</ns2:t>
              </ns2:r>
              <ns2:r>
                <ns2:rPr>
                  <ns2:sty ns2:val="p"/>
                </ns2:rPr>
                <ns2:t>,</ns2:t>
              </ns2:r>
              <ns2:r>
                <ns2:t>j</ns2:t>
              </ns2:r>
            </ns2:e>
          </ns2:d>
          <ns2:r>
            <ns2:rPr>
              <ns2:sty ns2:val="p"/>
            </ns2:rPr>
            <ns2:t>=</ns2:t>
          </ns2:r>
          <ns2:r>
            <ns2:rPr>
              <ns2:sty ns2:val="p"/>
            </ns2:rPr>
            <ns2:t>s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v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t</ns2:t>
          </ns2:r>
          <ns2:r>
            <ns2:rPr>
              <ns2:sty ns2:val="p"/>
            </ns2:rPr>
            <ns2:t>y</ns2:t>
          </ns2:r>
          <ns2:r>
            <ns2:rPr>
              <ns2:sty ns2:val="p"/>
            </ns2:rPr>
            <ns2:t>⋅</ns2:t>
          </ns2:r>
          <ns2:r>
            <ns2:rPr>
              <ns2:sty ns2:val="p"/>
            </ns2:rPr>
            <ns2:t>max</ns2:t>
          </ns2:r>
          <ns2:r>
            <ns2:t>​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t>0</ns2:t>
              </ns2:r>
              <ns2:r>
                <ns2:rPr>
                  <ns2:sty ns2:val="p"/>
                </ns2:rPr>
                <ns2:t>,</ns2:t>
              </ns2:r>
              <ns2:r>
                <ns2:t> </ns2:t>
              </ns2:r>
              <ns2:f>
                <ns2:fPr>
                  <ns2:type ns2:val="bar"/>
                </ns2:fPr>
                <ns2:num>
                  <ns2:r>
                    <ns2:rPr>
                      <ns2:sty ns2:val="p"/>
                    </ns2:rPr>
                    <ns2:t>r</ns2:t>
                  </ns2:r>
                  <ns2:r>
                    <ns2:rPr>
                      <ns2:sty ns2:val="p"/>
                    </ns2:rPr>
                    <ns2:t>a</ns2:t>
                  </ns2:r>
                  <ns2:r>
                    <ns2:rPr>
                      <ns2:sty ns2:val="p"/>
                    </ns2:rPr>
                    <ns2:t>d</ns2:t>
                  </ns2:r>
                  <ns2:r>
                    <ns2:rPr>
                      <ns2:sty ns2:val="p"/>
                    </ns2:rPr>
                    <ns2:t>i</ns2:t>
                  </ns2:r>
                  <ns2:r>
                    <ns2:rPr>
                      <ns2:sty ns2:val="p"/>
                    </ns2:rPr>
                    <ns2:t>u</ns2:t>
                  </ns2:r>
                  <ns2:r>
                    <ns2:rPr>
                      <ns2:sty ns2:val="p"/>
                    </ns2:rPr>
                    <ns2:t>s</ns2:t>
                  </ns2:r>
                  <ns2:r>
                    <ns2:rPr>
                      <ns2:sty ns2:val="p"/>
                    </ns2:rPr>
                    <ns2:t>−</ns2:t>
                  </ns2:r>
                  <ns2:r>
                    <ns2:rPr>
                      <ns2:sty ns2:val="p"/>
                    </ns2:rPr>
                    <ns2:t>d</ns2:t>
                  </ns2:r>
                  <ns2:r>
                    <ns2:rPr>
                      <ns2:sty ns2:val="p"/>
                    </ns2:rPr>
                    <ns2:t>i</ns2:t>
                  </ns2:r>
                  <ns2:r>
                    <ns2:rPr>
                      <ns2:sty ns2:val="p"/>
                    </ns2:rPr>
                    <ns2:t>s</ns2:t>
                  </ns2:r>
                  <ns2:r>
                    <ns2:rPr>
                      <ns2:sty ns2:val="p"/>
                    </ns2:rPr>
                    <ns2:t>t</ns2:t>
                  </ns2:r>
                  <ns2:d>
                    <ns2:dPr>
                      <ns2:begChr ns2:val="("/>
                      <ns2:endChr ns2:val=")"/>
                      <ns2:sepChr ns2:val=""/>
                      <ns2:grow/>
                    </ns2:dPr>
                    <ns2:e>
                      <ns2:d>
                        <ns2:dPr>
                          <ns2:begChr ns2:val="("/>
                          <ns2:endChr ns2:val=")"/>
                          <ns2:sepChr ns2:val=""/>
                          <ns2:grow/>
                        </ns2:dPr>
                        <ns2:e>
                          <ns2:r>
                            <ns2:t>i</ns2:t>
                          </ns2:r>
                          <ns2:r>
                            <ns2:rPr>
                              <ns2:sty ns2:val="p"/>
                            </ns2:rPr>
                            <ns2:t>,</ns2:t>
                          </ns2:r>
                          <ns2:r>
                            <ns2:t>j</ns2:t>
                          </ns2:r>
                        </ns2:e>
                      </ns2:d>
                      <ns2:r>
                        <ns2:rPr>
                          <ns2:sty ns2:val="p"/>
                        </ns2:rPr>
                        <ns2:t>,</ns2:t>
                      </ns2:r>
                      <ns2:r>
                        <ns2:t> </ns2:t>
                      </ns2:r>
                      <ns2:r>
                        <ns2:rPr>
                          <ns2:sty ns2:val="p"/>
                        </ns2:rPr>
                        <ns2:t>c</ns2:t>
                      </ns2:r>
                      <ns2:r>
                        <ns2:rPr>
                          <ns2:sty ns2:val="p"/>
                        </ns2:rPr>
                        <ns2:t>e</ns2:t>
                      </ns2:r>
                      <ns2:r>
                        <ns2:rPr>
                          <ns2:sty ns2:val="p"/>
                        </ns2:rPr>
                        <ns2:t>n</ns2:t>
                      </ns2:r>
                      <ns2:r>
                        <ns2:rPr>
                          <ns2:sty ns2:val="p"/>
                        </ns2:rPr>
                        <ns2:t>t</ns2:t>
                      </ns2:r>
                      <ns2:r>
                        <ns2:rPr>
                          <ns2:sty ns2:val="p"/>
                        </ns2:rPr>
                        <ns2:t>e</ns2:t>
                      </ns2:r>
                      <ns2:r>
                        <ns2:rPr>
                          <ns2:sty ns2:val="p"/>
                        </ns2:rPr>
                        <ns2:t>r</ns2:t>
                      </ns2:r>
                    </ns2:e>
                  </ns2:d>
                </ns2:num>
                <ns2:den>
                  <ns2:r>
                    <ns2:rPr>
                      <ns2:sty ns2:val="p"/>
                    </ns2:rPr>
                    <ns2:t>r</ns2:t>
                  </ns2:r>
                  <ns2:r>
                    <ns2:rPr>
                      <ns2:sty ns2:val="p"/>
                    </ns2:rPr>
                    <ns2:t>a</ns2:t>
                  </ns2:r>
                  <ns2:r>
                    <ns2:rPr>
                      <ns2:sty ns2:val="p"/>
                    </ns2:rPr>
                    <ns2:t>d</ns2:t>
                  </ns2:r>
                  <ns2:r>
                    <ns2:rPr>
                      <ns2:sty ns2:val="p"/>
                    </ns2:rPr>
                    <ns2:t>i</ns2:t>
                  </ns2:r>
                  <ns2:r>
                    <ns2:rPr>
                      <ns2:sty ns2:val="p"/>
                    </ns2:rPr>
                    <ns2:t>u</ns2:t>
                  </ns2:r>
                  <ns2:r>
                    <ns2:rPr>
                      <ns2:sty ns2:val="p"/>
                    </ns2:rPr>
                    <ns2:t>s</ns2:t>
                  </ns2:r>
                </ns2:den>
              </ns2:f>
            </ns2:e>
          </ns2:d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где severity ∈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0, 1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степень угрозы зоны (задаётся оператором), radius = 0,005° (~500 м) — радиус влияния, dist(i,j, center) — евклидово расстояние от ячейки до центра зоны.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запретных зон (restricted-зон) риск равен severity внутри полигона и 0 снаружи: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sSub>
            <ns2:e>
              <ns2:r>
                <ns2:t>r</ns2:t>
              </ns2:r>
            </ns2:e>
            <ns2:sub>
              <ns2:r>
                <ns2:rPr>
                  <ns2:sty ns2:val="p"/>
                </ns2:rPr>
                <ns2:t>z</ns2:t>
              </ns2:r>
              <ns2:r>
                <ns2:rPr>
                  <ns2:sty ns2:val="p"/>
                </ns2:rPr>
                <ns2:t>o</ns2:t>
              </ns2:r>
              <ns2:r>
                <ns2:rPr>
                  <ns2:sty ns2:val="p"/>
                </ns2:rPr>
                <ns2:t>n</ns2:t>
              </ns2:r>
              <ns2:r>
                <ns2:rPr>
                  <ns2:sty ns2:val="p"/>
                </ns2:rPr>
                <ns2:t>e</ns2:t>
              </ns2:r>
            </ns2:sub>
          </ns2:sSub>
          <ns2:d>
            <ns2:dPr>
              <ns2:begChr ns2:val="("/>
              <ns2:endChr ns2:val=")"/>
              <ns2:sepChr ns2:val=""/>
              <ns2:grow/>
            </ns2:dPr>
            <ns2:e>
              <ns2:r>
                <ns2:t>i</ns2:t>
              </ns2:r>
              <ns2:r>
                <ns2:rPr>
                  <ns2:sty ns2:val="p"/>
                </ns2:rPr>
                <ns2:t>,</ns2:t>
              </ns2:r>
              <ns2:r>
                <ns2:t>j</ns2:t>
              </ns2:r>
            </ns2:e>
          </ns2:d>
          <ns2:r>
            <ns2:rPr>
              <ns2:sty ns2:val="p"/>
            </ns2:rPr>
            <ns2:t>=</ns2:t>
          </ns2:r>
          <ns2:d>
            <ns2:dPr>
              <ns2:begChr ns2:val="{"/>
              <ns2:endChr ns2:val=""/>
              <ns2:sepChr ns2:val=""/>
              <ns2:grow/>
            </ns2:dPr>
            <ns2:e>
              <ns2:m>
                <ns2:mPr>
                  <ns2:baseJc ns2:val="center"/>
                  <ns2:plcHide ns2:val="on"/>
                  <ns2:mcs>
                    <ns2:mc>
                      <ns2:mcPr>
                        <ns2:mcJc ns2:val="left"/>
                        <ns2:count ns2:val="1"/>
                      </ns2:mcPr>
                    </ns2:mc>
                    <ns2:mc>
                      <ns2:mcPr>
                        <ns2:mcJc ns2:val="left"/>
                        <ns2:count ns2:val="1"/>
                      </ns2:mcPr>
                    </ns2:mc>
                  </ns2:mcs>
                </ns2:mPr>
                <ns2:mr>
                  <ns2:e>
                    <ns2:r>
                      <ns2:rPr>
                        <ns2:sty ns2:val="p"/>
                      </ns2:rPr>
                      <ns2:t>s</ns2:t>
                    </ns2:r>
                    <ns2:r>
                      <ns2:rPr>
                        <ns2:sty ns2:val="p"/>
                      </ns2:rPr>
                      <ns2:t>e</ns2:t>
                    </ns2:r>
                    <ns2:r>
                      <ns2:rPr>
                        <ns2:sty ns2:val="p"/>
                      </ns2:rPr>
                      <ns2:t>v</ns2:t>
                    </ns2:r>
                    <ns2:r>
                      <ns2:rPr>
                        <ns2:sty ns2:val="p"/>
                      </ns2:rPr>
                      <ns2:t>e</ns2:t>
                    </ns2:r>
                    <ns2:r>
                      <ns2:rPr>
                        <ns2:sty ns2:val="p"/>
                      </ns2:rPr>
                      <ns2:t>r</ns2:t>
                    </ns2:r>
                    <ns2:r>
                      <ns2:rPr>
                        <ns2:sty ns2:val="p"/>
                      </ns2:rPr>
                      <ns2:t>i</ns2:t>
                    </ns2:r>
                    <ns2:r>
                      <ns2:rPr>
                        <ns2:sty ns2:val="p"/>
                      </ns2:rPr>
                      <ns2:t>t</ns2:t>
                    </ns2:r>
                    <ns2:r>
                      <ns2:rPr>
                        <ns2:sty ns2:val="p"/>
                      </ns2:rPr>
                      <ns2:t>y</ns2:t>
                    </ns2:r>
                    <ns2:r>
                      <ns2:rPr>
                        <ns2:sty ns2:val="p"/>
                      </ns2:rPr>
                      <ns2:t>,</ns2:t>
                    </ns2:r>
                  </ns2:e>
                  <ns2:e>
                    <ns2:d>
                      <ns2:dPr>
                        <ns2:begChr ns2:val="("/>
                        <ns2:endChr ns2:val=")"/>
                        <ns2:sepChr ns2:val=""/>
                        <ns2:grow/>
                      </ns2:dPr>
                      <ns2:e>
                        <ns2:r>
                          <ns2:t>i</ns2:t>
                        </ns2:r>
                        <ns2:r>
                          <ns2:rPr>
                            <ns2:sty ns2:val="p"/>
                          </ns2:rPr>
                          <ns2:t>,</ns2:t>
                        </ns2:r>
                        <ns2:r>
                          <ns2:t>j</ns2:t>
                        </ns2:r>
                      </ns2:e>
                    </ns2:d>
                    <ns2:r>
                      <ns2:rPr>
                        <ns2:sty ns2:val="p"/>
                      </ns2:rPr>
                      <ns2:t>∈</ns2:t>
                    </ns2:r>
                    <ns2:r>
                      <ns2:rPr>
                        <ns2:sty ns2:val="p"/>
                      </ns2:rPr>
                      <ns2:t>P</ns2:t>
                    </ns2:r>
                    <ns2:r>
                      <ns2:rPr>
                        <ns2:sty ns2:val="p"/>
                      </ns2:rPr>
                      <ns2:t>o</ns2:t>
                    </ns2:r>
                    <ns2:r>
                      <ns2:rPr>
                        <ns2:sty ns2:val="p"/>
                      </ns2:rPr>
                      <ns2:t>l</ns2:t>
                    </ns2:r>
                    <ns2:r>
                      <ns2:rPr>
                        <ns2:sty ns2:val="p"/>
                      </ns2:rPr>
                      <ns2:t>y</ns2:t>
                    </ns2:r>
                    <ns2:r>
                      <ns2:rPr>
                        <ns2:sty ns2:val="p"/>
                      </ns2:rPr>
                      <ns2:t>g</ns2:t>
                    </ns2:r>
                    <ns2:r>
                      <ns2:rPr>
                        <ns2:sty ns2:val="p"/>
                      </ns2:rPr>
                      <ns2:t>o</ns2:t>
                    </ns2:r>
                    <ns2:r>
                      <ns2:rPr>
                        <ns2:sty ns2:val="p"/>
                      </ns2:rPr>
                      <ns2:t>n</ns2:t>
                    </ns2:r>
                  </ns2:e>
                </ns2:mr>
                <ns2:mr>
                  <ns2:e>
                    <ns2:r>
                      <ns2:t>0</ns2:t>
                    </ns2:r>
                    <ns2:r>
                      <ns2:rPr>
                        <ns2:sty ns2:val="p"/>
                      </ns2:rPr>
                      <ns2:t>,</ns2:t>
                    </ns2:r>
                  </ns2:e>
                  <ns2:e>
                    <ns2:d>
                      <ns2:dPr>
                        <ns2:begChr ns2:val="("/>
                        <ns2:endChr ns2:val=")"/>
                        <ns2:sepChr ns2:val=""/>
                        <ns2:grow/>
                      </ns2:dPr>
                      <ns2:e>
                        <ns2:r>
                          <ns2:t>i</ns2:t>
                        </ns2:r>
                        <ns2:r>
                          <ns2:rPr>
                            <ns2:sty ns2:val="p"/>
                          </ns2:rPr>
                          <ns2:t>,</ns2:t>
                        </ns2:r>
                        <ns2:r>
                          <ns2:t>j</ns2:t>
                        </ns2:r>
                      </ns2:e>
                    </ns2:d>
                    <ns2:r>
                      <ns2:rPr>
                        <ns2:sty ns2:val="p"/>
                      </ns2:rPr>
                      <ns2:t>∉</ns2:t>
                    </ns2:r>
                    <ns2:r>
                      <ns2:rPr>
                        <ns2:sty ns2:val="p"/>
                      </ns2:rPr>
                      <ns2:t>P</ns2:t>
                    </ns2:r>
                    <ns2:r>
                      <ns2:rPr>
                        <ns2:sty ns2:val="p"/>
                      </ns2:rPr>
                      <ns2:t>o</ns2:t>
                    </ns2:r>
                    <ns2:r>
                      <ns2:rPr>
                        <ns2:sty ns2:val="p"/>
                      </ns2:rPr>
                      <ns2:t>l</ns2:t>
                    </ns2:r>
                    <ns2:r>
                      <ns2:rPr>
                        <ns2:sty ns2:val="p"/>
                      </ns2:rPr>
                      <ns2:t>y</ns2:t>
                    </ns2:r>
                    <ns2:r>
                      <ns2:rPr>
                        <ns2:sty ns2:val="p"/>
                      </ns2:rPr>
                      <ns2:t>g</ns2:t>
                    </ns2:r>
                    <ns2:r>
                      <ns2:rPr>
                        <ns2:sty ns2:val="p"/>
                      </ns2:rPr>
                      <ns2:t>o</ns2:t>
                    </ns2:r>
                    <ns2:r>
                      <ns2:rPr>
                        <ns2:sty ns2:val="p"/>
                      </ns2:rPr>
                      <ns2:t>n</ns2:t>
                    </ns2:r>
                  </ns2:e>
                </ns2:mr>
              </ns2:m>
            </ns2:e>
          </ns2:d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Итоговый риск ячейки нормализуется на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0, 1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t>R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t>i</ns2:t>
              </ns2:r>
              <ns2:r>
                <ns2:rPr>
                  <ns2:sty ns2:val="p"/>
                </ns2:rPr>
                <ns2:t>,</ns2:t>
              </ns2:r>
              <ns2:r>
                <ns2:t>j</ns2:t>
              </ns2:r>
            </ns2:e>
          </ns2:d>
          <ns2:r>
            <ns2:rPr>
              <ns2:sty ns2:val="p"/>
            </ns2:rPr>
            <ns2:t>=</ns2:t>
          </ns2:r>
          <ns2:r>
            <ns2:rPr>
              <ns2:sty ns2:val="p"/>
            </ns2:rPr>
            <ns2:t>min</ns2:t>
          </ns2:r>
          <ns2:r>
            <ns2:t>​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t>1.0</ns2:t>
              </ns2:r>
              <ns2:r>
                <ns2:rPr>
                  <ns2:sty ns2:val="p"/>
                </ns2:rPr>
                <ns2:t>,</ns2:t>
              </ns2:r>
              <ns2:r>
                <ns2:t> </ns2:t>
              </ns2:r>
              <ns2:sSub>
                <ns2:e>
                  <ns2:r>
                    <ns2:t>r</ns2:t>
                  </ns2:r>
                </ns2:e>
                <ns2:sub>
                  <ns2:r>
                    <ns2:rPr>
                      <ns2:sty ns2:val="p"/>
                    </ns2:rPr>
                    <ns2:t>j</ns2:t>
                  </ns2:r>
                  <ns2:r>
                    <ns2:rPr>
                      <ns2:sty ns2:val="p"/>
                    </ns2:rPr>
                    <ns2:t>a</ns2:t>
                  </ns2:r>
                  <ns2:r>
                    <ns2:rPr>
                      <ns2:sty ns2:val="p"/>
                    </ns2:rPr>
                    <ns2:t>m</ns2:t>
                  </ns2:r>
                  <ns2:r>
                    <ns2:rPr>
                      <ns2:sty ns2:val="p"/>
                    </ns2:rPr>
                    <ns2:t>m</ns2:t>
                  </ns2:r>
                  <ns2:r>
                    <ns2:rPr>
                      <ns2:sty ns2:val="p"/>
                    </ns2:rPr>
                    <ns2:t>e</ns2:t>
                  </ns2:r>
                  <ns2:r>
                    <ns2:rPr>
                      <ns2:sty ns2:val="p"/>
                    </ns2:rPr>
                    <ns2:t>r</ns2:t>
                  </ns2:r>
                </ns2:sub>
              </ns2:sSub>
              <ns2:d>
                <ns2:dPr>
                  <ns2:begChr ns2:val="("/>
                  <ns2:endChr ns2:val=")"/>
                  <ns2:sepChr ns2:val=""/>
                  <ns2:grow/>
                </ns2:dPr>
                <ns2:e>
                  <ns2:r>
                    <ns2:t>i</ns2:t>
                  </ns2:r>
                  <ns2:r>
                    <ns2:rPr>
                      <ns2:sty ns2:val="p"/>
                    </ns2:rPr>
                    <ns2:t>,</ns2:t>
                  </ns2:r>
                  <ns2:r>
                    <ns2:t>j</ns2:t>
                  </ns2:r>
                </ns2:e>
              </ns2:d>
              <ns2:r>
                <ns2:rPr>
                  <ns2:sty ns2:val="p"/>
                </ns2:rPr>
                <ns2:t>+</ns2:t>
              </ns2:r>
              <ns2:sSub>
                <ns2:e>
                  <ns2:r>
                    <ns2:t>r</ns2:t>
                  </ns2:r>
                </ns2:e>
                <ns2:sub>
                  <ns2:r>
                    <ns2:rPr>
                      <ns2:sty ns2:val="p"/>
                    </ns2:rPr>
                    <ns2:t>z</ns2:t>
                  </ns2:r>
                  <ns2:r>
                    <ns2:rPr>
                      <ns2:sty ns2:val="p"/>
                    </ns2:rPr>
                    <ns2:t>o</ns2:t>
                  </ns2:r>
                  <ns2:r>
                    <ns2:rPr>
                      <ns2:sty ns2:val="p"/>
                    </ns2:rPr>
                    <ns2:t>n</ns2:t>
                  </ns2:r>
                  <ns2:r>
                    <ns2:rPr>
                      <ns2:sty ns2:val="p"/>
                    </ns2:rPr>
                    <ns2:t>e</ns2:t>
                  </ns2:r>
                </ns2:sub>
              </ns2:sSub>
              <ns2:d>
                <ns2:dPr>
                  <ns2:begChr ns2:val="("/>
                  <ns2:endChr ns2:val=")"/>
                  <ns2:sepChr ns2:val=""/>
                  <ns2:grow/>
                </ns2:dPr>
                <ns2:e>
                  <ns2:r>
                    <ns2:t>i</ns2:t>
                  </ns2:r>
                  <ns2:r>
                    <ns2:rPr>
                      <ns2:sty ns2:val="p"/>
                    </ns2:rPr>
                    <ns2:t>,</ns2:t>
                  </ns2:r>
                  <ns2:r>
                    <ns2:t>j</ns2:t>
                  </ns2:r>
                </ns2:e>
              </ns2:d>
            </ns2:e>
          </ns2:d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наличии нескольких зон риски суммируются с нормализацией. Ячейки с R(i,j) = 1,0 (внутри jammer-зоны) полностью исключаются из пула целевых точек маршрута. Для остальных ячеек их вес в алгоритме Risk-Weighted Voronoi определяется как: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t>w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t>i</ns2:t>
              </ns2:r>
              <ns2:r>
                <ns2:rPr>
                  <ns2:sty ns2:val="p"/>
                </ns2:rPr>
                <ns2:t>,</ns2:t>
              </ns2:r>
              <ns2:r>
                <ns2:t>j</ns2:t>
              </ns2:r>
            </ns2:e>
          </ns2:d>
          <ns2:r>
            <ns2:rPr>
              <ns2:sty ns2:val="p"/>
            </ns2:rPr>
            <ns2:t>=</ns2:t>
          </ns2:r>
          <ns2:f>
            <ns2:fPr>
              <ns2:type ns2:val="bar"/>
            </ns2:fPr>
            <ns2:num>
              <ns2:r>
                <ns2:t>1</ns2:t>
              </ns2:r>
            </ns2:num>
            <ns2:den>
              <ns2:r>
                <ns2:t>1</ns2:t>
              </ns2:r>
              <ns2:r>
                <ns2:rPr>
                  <ns2:sty ns2:val="p"/>
                </ns2:rPr>
                <ns2:t>−</ns2:t>
              </ns2:r>
              <ns2:r>
                <ns2:t>R</ns2:t>
              </ns2:r>
              <ns2:d>
                <ns2:dPr>
                  <ns2:begChr ns2:val="("/>
                  <ns2:endChr ns2:val=")"/>
                  <ns2:sepChr ns2:val=""/>
                  <ns2:grow/>
                </ns2:dPr>
                <ns2:e>
                  <ns2:r>
                    <ns2:t>i</ns2:t>
                  </ns2:r>
                  <ns2:r>
                    <ns2:rPr>
                      <ns2:sty ns2:val="p"/>
                    </ns2:rPr>
                    <ns2:t>,</ns2:t>
                  </ns2:r>
                  <ns2:r>
                    <ns2:t>j</ns2:t>
                  </ns2:r>
                </ns2:e>
              </ns2:d>
              <ns2:r>
                <ns2:rPr>
                  <ns2:sty ns2:val="p"/>
                </ns2:rPr>
                <ns2:t>+</ns2:t>
              </ns2:r>
              <ns2:r>
                <ns2:t>ε</ns2:t>
              </ns2:r>
            </ns2:den>
          </ns2:f>
          <ns2:r>
            <ns2:rPr>
              <ns2:sty ns2:val="p"/>
            </ns2:rPr>
            <ns2:t>,</ns2:t>
          </ns2:r>
          <ns2:r>
            <ns2:t>  </ns2:t>
          </ns2:r>
          <ns2:r>
            <ns2:t>ε</ns2:t>
          </ns2:r>
          <ns2:r>
            <ns2:rPr>
              <ns2:sty ns2:val="p"/>
            </ns2:rPr>
            <ns2:t>=</ns2:t>
          </ns2:r>
          <ns2:r>
            <ns2:t>1</ns2:t>
          </ns2:r>
          <ns2:r>
            <ns2:rPr>
              <ns2:sty ns2:val="p"/>
            </ns2:rPr>
            <ns2:t>⋅</ns2:t>
          </ns2:r>
          <ns2:sSup>
            <ns2:e>
              <ns2:r>
                <ns2:t>10</ns2:t>
              </ns2:r>
            </ns2:e>
            <ns2:sup>
              <ns2:r>
                <ns2:rPr>
                  <ns2:sty ns2:val="p"/>
                </ns2:rPr>
                <ns2:t>−</ns2:t>
              </ns2:r>
              <ns2:r>
                <ns2:t>6</ns2:t>
              </ns2:r>
            </ns2:sup>
          </ns2:sSup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Данная формула обеспечивает монотонное возрастание веса при приближении к зоне риска: ячейка с R = 0 имеет вес 1, ячейка с R = 0,9 — вес 10, ячейка с R = 0,99 — вес 100. Это математически «отталкивает» центроиды Voronoi от зон РЭБ, заставляя алгоритм концентрировать рабочие точки в безопасных зонах поля.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Интегральный критерий надёжности миссии (IRM) вычисляется после формирования всех маршрутов: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rPr>
              <ns2:sty ns2:val="p"/>
            </ns2:rPr>
            <ns2:t>I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M</ns2:t>
          </ns2:r>
          <ns2:r>
            <ns2:rPr>
              <ns2:sty ns2:val="p"/>
            </ns2:rPr>
            <ns2:t>=</ns2:t>
          </ns2:r>
          <ns2:r>
            <ns2:t>1</ns2:t>
          </ns2:r>
          <ns2:r>
            <ns2:rPr>
              <ns2:sty ns2:val="p"/>
            </ns2:rPr>
            <ns2:t>−</ns2:t>
          </ns2:r>
          <ns2:f>
            <ns2:fPr>
              <ns2:type ns2:val="bar"/>
            </ns2:fPr>
            <ns2:num>
              <ns2:r>
                <ns2:t>1</ns2:t>
              </ns2:r>
            </ns2:num>
            <ns2:den>
              <ns2:d>
                <ns2:dPr>
                  <ns2:begChr ns2:val="|"/>
                  <ns2:endChr ns2:val="|"/>
                  <ns2:sepChr ns2:val=""/>
                  <ns2:grow/>
                </ns2:dPr>
                <ns2:e>
                  <ns2:r>
                    <ns2:t>W</ns2:t>
                  </ns2:r>
                </ns2:e>
              </ns2:d>
            </ns2:den>
          </ns2:f>
          <ns2:nary>
            <ns2:naryPr>
              <ns2:chr ns2:val="∑"/>
              <ns2:limLoc ns2:val="undOvr"/>
              <ns2:subHide ns2:val="off"/>
              <ns2:supHide ns2:val="on"/>
            </ns2:naryPr>
            <ns2:sub>
              <ns2:r>
                <ns2:t>w</ns2:t>
              </ns2:r>
              <ns2:r>
                <ns2:rPr>
                  <ns2:sty ns2:val="p"/>
                </ns2:rPr>
                <ns2:t>∈</ns2:t>
              </ns2:r>
              <ns2:r>
                <ns2:t>W</ns2:t>
              </ns2:r>
            </ns2:sub>
            <ns2:sup>
              <ns2:r>
                <ns2:t>​</ns2:t>
              </ns2:r>
            </ns2:sup>
            <ns2:e>
              <ns2:r>
                <ns2:t>R</ns2:t>
              </ns2:r>
            </ns2:e>
          </ns2:nary>
          <ns2:d>
            <ns2:dPr>
              <ns2:begChr ns2:val="("/>
              <ns2:endChr ns2:val=")"/>
              <ns2:sepChr ns2:val=""/>
              <ns2:grow/>
            </ns2:dPr>
            <ns2:e>
              <ns2:r>
                <ns2:t>w</ns2:t>
              </ns2:r>
            </ns2:e>
          </ns2:d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ns2:oMath>
        <ns2:r>
          <ns2:t>W</ns2:t>
        </ns2:r>
      </ns2:oMath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множество всех waypoints всех маршрутов миссии.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Значение IRM ∈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0, 1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IRM = 1 означает, что все точки маршрута расположены в абсолютно безопасных зонах (R = 0). IRM = 0 соответствует маршрутам, полностью проложенным через максимально опасные зоны — практически недостижимая ситуация для реального поля с ограниченным числом зон РЭБ. Типичное значение IRM для MVP при двух зонах РЭБ с severity 0,6 и 0,9 составляет 0,82–0,94.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Результаты матрицы рисков позволяют выделить два вектора критической уязвимости: глушение навигационных сигналов (УБИ.131) и перехват управления через незащищённый MAVLink (УБИ.014). Принципиальной первопричиной критической уязвимости канала управления является архитектурный изъян протокола — отсутствие обязательного шифрования и аутентификации в базовой конфигурации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Именно устранению этих уязвимостей посвящены ключевые технические решения SafeAgriRoute.</w:t>
      </w:r>
    </w:p>
    <w:bookmarkStart w:id="41" w:name="X8a73b3c7aad178bf914fd721a5085d1ed5ce0ad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1.2.4 Контрмеры, реализованные в SafeAgriRoute</w:t>
      </w:r>
    </w:p>
    <w:bookmarkEnd w:id="41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 основании результатов анализа угроз в платформе реализованы организационно-технические контрмеры, перекрывающие идентифицированные критические и высокие риски.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Контрмеры против угроз навигационной подсистемы (Н-НАВ-1, Н-НАВ-2)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Основным техническим ответом на угрозы ГНСС-глушения и спуфинга является превентивная риск-ориентированная маршрутизация: алгоритм Risk-Weighted Voronoi Decomposition (RWVD) и penalty-граф исключают точки с R(i,j) = 1 из пула waypoints ещё на этапе планирования, что фактически означает отказ от полётов в зоне действия известных глушителей. Данный подход соответствует рекомендациям ИКАО (Doc 9849 AN/457) по управлению воздушным движением в условиях деградированной навигации: первоочередной мерой является изменение маршрута для обхода зоны воздействия.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Вторым уровнем защиты является эвристический контур (модули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telemetry_features.py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threat_fusion.py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mission_fusion_runtime.py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): скользящие признаки ГНСС-нестабильности вычисляются из потока MAVLink в реальном времени. Если показатель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jam_prob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превышает порог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threshold_alarm = 0,7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 трёх последовательных тиках (debounce), система автоматически создаёт динамическую зону риска вокруг текущей позиции дрона с радиусом 300 м и инициирует перепланирование. Такой контур соответствует общей логике систем обнаружения вторжений для UAV-assisted smart farming и киберфизических БПЛА, где телеметрия используется как основной источник признаков аномального поведения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25, 26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Время реакции от первого превышения порога до начала перепланирования не превышает 1,5 сек с учётом debounce-задержки.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Детектирование GPS-спуфинга реализовано через мониторинг аномалий IMU-прокси: при спуфинге ГНСС-координаты изменяются скачкообразно, тогда как инерциальные данные (акселерометр, гироскоп) этого не отражают. Рассогласование интегрированной траектории ИНС с ГНСС-треком свыше порога (параметр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IMU_TRAJECTORY_DIVERGENCE_THRESHOLD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 является признаком спуфинга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 текущей реализации MVP этот признак вычисляется через прокси-метрику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imu_jerk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 последовательности координат MAVLink без отдельного IMU-потока, что даёт приближённую, но работоспособную оценку.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Контрмеры против угроз канала управления MAVLink (Н-МАВ-1 — Н-МАВ-4)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 v2.0 поддерживает механизм подписи пакетов (Packet Signing) на основе SHA-256 HMAC с 48-битными временными метками. В MVP SafeAgriRoute активация подписи реализована программно через установку параметра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mavlink_signing_enabled = True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конфигурации pymavlink-соединения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8, 27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Это устраняет угрозы Н-МАВ-2 (инъекция) и Н-МАВ-3 (replay), поскольку каждый пакет MAVLink содержит уникальную подпись и метку времени: повторно отправленный пакет с устаревшей меткой будет отклонён автопилотом.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защиты от Н-МАВ-1 (перехват управления) дополнительно применяется туннелирование MAVLink-трафика через TLS (HTTPS-прокси на граничном узле) для режима работы через интернет, и VPN-туннель для режима локальной сети. В демонстрационной конфигурации MVP (арендованный SITL) TCP-трафик передаётся в рамках localhost или VPN, исключая открытый канал.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Угроза Н-МАВ-4 (DoS на радиоканал) относится к физическому уровню и не может быть полностью устранена программными средствами. Контрмерой является механизм возврата домой (RTH) при потере управляющего сигнала свыше 5 секунд — стандартная функция ArduPilot failsafe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 рамках SafeAgriRoute тайм-аут настроен через параметр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FS_SHORT_TIMEOUT = 1.5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сек для немедленного реагирования.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Контрмеры против угроз веб-платформы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Защита REST API реализована по схеме «defence in depth»: - Аутентификация и авторизация: JWT HS256 с 8-часовым TTL; bcrypt-хеш паролей с cost factor 12; ролевая модель operator/viewer с dependency-иерархией FastAPI. - Валидация входных данных: Pydantic v2 отклоняет любые запросы с неверными типами, отсутствующими обязательными полями или значениями вне диапазона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0,1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severity. Это устраняет SQL-инъекции через API (все запросы к БД формируются через SQLAlchemy ORM с параметризацией). - Ограничение площади атаки: CORS настроен на разрешение только доверенного origin фронтенда; всё управление миссией доступно только аутентифицированным операторам. - Аудит действий: все операции планирования, старта и перепланирования логируются с JWT-subject (идентификатором пользователя) в стандартный вывод FastAPI, что обеспечивает прослеживаемость действий при расследовании инцидентов.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Соответствие требованиям ГОСТ Р МЭК 62443-2-1-2015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 управлению рисками ИБ промышленных систем автоматизации подтверждается наличием задокументированной модели угроз, реализованных контрмер и процедуры аудита действий пользователей.</w:t>
      </w:r>
    </w:p>
    <w:bookmarkStart w:id="42" w:name="Xac7fa21f8b28e89a3c0093b69d942b3bf620440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1.2.5 Обоснование выбора приоритетных угроз для MVP</w:t>
      </w:r>
    </w:p>
    <w:bookmarkEnd w:id="42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ограниченных ресурсах MVP критически важен правильный выбор угроз для приоритетной нейтрализации. Руководствуясь Методикой ФСТЭК России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 результатами матрицы рисков, для MVP SafeAgriRoute выбраны угрозы с уровнем риска КРИТИЧЕСКИЙ и ВЫСОКИЙ:</w:t>
      </w:r>
    </w:p>
    <w:p>
      <w:pPr>
        <w:numPr>
          <w:ilvl w:val="0"/>
          <w:numId w:val="100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УБИ.131 (ГНСС-глушение) — КРИТИЧЕСКИЙ риск. Контрмера реализована на уровне алгоритма: RWVD превентивно обходит зоны глушения. Это единственный алгоритмический подход, не требующий специального оборудования на борту дрона.</w:t>
      </w:r>
    </w:p>
    <w:p>
      <w:pPr>
        <w:numPr>
          <w:ilvl w:val="0"/>
          <w:numId w:val="100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УБИ.014 (MAVLink-перехват/инъекция) — КРИТИЧЕСКИЙ риск. Контрмера реализована активацией подписи пакетов MAVLink v2.0 и туннелированием через TLS.</w:t>
      </w:r>
    </w:p>
    <w:p>
      <w:pPr>
        <w:numPr>
          <w:ilvl w:val="0"/>
          <w:numId w:val="100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УБИ.037 (компрометация учётной записи) — ВЫСОКИЙ риск. Контрмера: JWT + bcrypt + ролевая модель.</w:t>
      </w:r>
    </w:p>
    <w:p>
      <w:pPr>
        <w:numPr>
          <w:ilvl w:val="0"/>
          <w:numId w:val="100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УБИ.192 (GPS-спуфинг) — ВЫСОКИЙ риск. Частичная контрмера: IMU-прокси в контуре обнаружения. Полная контрмера (многодатчиковая fusion) — в перспективной версии.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Угрозы с уровнем СРЕДНИЙ (УБИ.056 DDoS, УБИ.159 подмена карт NDVI) приняты в качестве остаточного риска с соответствующей записью в реестре рисков и включением в план мероприятий по развитию платформы.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Данный подход соответствует принципу «риск-пропорциональности» — контрмеры применяются там, где ущерб превышает стоимость их реализации. Для агропредприятий среднего масштаба наиболее вероятными инцидентами являются случайные помехи ГНСС (бытовые глушители, нестабильность сигнала в приграничных районах) и компрометация учётных данных операторов — именно против этих угроз реализованы наиболее зрелые контрмеры.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Матрица остаточного риска после внедрения контрмер SafeAgriRoute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ГНСС-глушение (УБИ.131): Исходный уровень риска: КРИТИЧЕСКИЙ; Реализованная контрмера: RWVD превентивно обходит jammer-зоны; Остаточный уровень риска: Низкий (нет полётов в зоне).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GPS-спуфинг (УБИ.192): Исходный уровень риска: Высокий; Реализованная контрмера: IMU-прокси, swarm-consensus; Остаточный уровень риска: Средний (эвристика, не ML).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 Hijacking (УБИ.014): Исходный уровень риска: КРИТИЧЕСКИЙ; Реализованная контрмера: Packet Signing SHA-256 HMAC + TLS; Остаточный уровень риска: Низкий.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 Injection (УБИ.014): Исходный уровень риска: Высокий; Реализованная контрмера: Packet Signing (replay-защита); Остаточный уровень риска: Низкий.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Replay-атака (УБИ.014): Исходный уровень риска: Средний; Реализованная контрмера: 48-бит timestamp в подписи MAVLink v2; Остаточный уровень риска: Низкий.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Взлом учётной записи (УБИ.037): Исходный уровень риска: Высокий; Реализованная контрмера: JWT + bcrypt (cost 12) + ролевая модель; Остаточный уровень риска: Низкий.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OWASP Top-10 (УБИ.037): Исходный уровень риска: Высокий; Реализованная контрмера: Pydantic v2 + SQLAlchemy ORM; Остаточный уровень риска: Низкий.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DoS на радиоканал (УБИ.131): Исходный уровень риска: Средний; Реализованная контрмера: RTH failsafe ArduPilot (5 сек тайм-аут); Остаточный уровень риска: Средний (физический уровень).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DDoS на облако (УБИ.056): Исходный уровень риска: Средний; Реализованная контрмера: Принят как остаточный риск; Остаточный уровень риска: Средний.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Атака на RTK-станцию (УБИ.192): Исходный уровень риска: Средний; Реализованная контрмера: Принят как остаточный риск; Остаточный уровень риска: Средний.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Подмена карт NDVI (УБИ.159): Исходный уровень риска: Средний; Реализованная контрмера: Принят как остаточный риск; Остаточный уровень риска: Средний.</w:t>
      </w:r>
    </w:p>
    <w:p>
      <w:pPr>
        <w:numPr>
          <w:ilvl w:val="0"/>
          <w:numId w:val="101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Заражение НСУ (УБИ.101): Исходный уровень риска: Высокий; Реализованная контрмера: Принят как остаточный риск; Остаточный уровень риска: Высокий (нет endpoint-контроля).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После внедрения контрмер MVP уровень критических и высоких рисков снизился по 7 из 12 угроз. Наиболее значимые остаточные риски: GPS-спуфинг (из-за ограниченности эвристического контура) и заражение НСУ (endpoint-безопасность выходит за рамки платформенного уровня). Оба риска задокументированы в реестре рисков и включены в план разработки v2.0.</w:t>
      </w:r>
    </w:p>
    <w:bookmarkStart w:id="43" w:name="Xb9b5ec268f32caf2d291737330779d99a3c74e1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1.2.6 Сравнение с MITRE ATT&amp;CK for ICS</w:t>
      </w:r>
    </w:p>
    <w:bookmarkEnd w:id="43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Идентифицированные угрозы SafeAgriRoute сопоставлены с международным реестром MITRE ATT&amp;CK for ICS, что подтверждает полноту охвата модели 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Сопоставление модели угроз SafeAgriRoute с MITRE ATT&amp;CK for ICS</w:t>
      </w:r>
    </w:p>
    <w:p>
      <w:pPr>
        <w:numPr>
          <w:ilvl w:val="0"/>
          <w:numId w:val="101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ГНСС-глушение: БДУ ФСТЭК: УБИ.131; MITRE ATT&amp;CK for ICS: T0816; Техника: Device Restart/Shutdown.</w:t>
      </w:r>
    </w:p>
    <w:p>
      <w:pPr>
        <w:numPr>
          <w:ilvl w:val="0"/>
          <w:numId w:val="101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GPS-спуфинг: БДУ ФСТЭК: УБИ.192; MITRE ATT&amp;CK for ICS: T0856; Техника: Spoof Reporting Message.</w:t>
      </w:r>
    </w:p>
    <w:p>
      <w:pPr>
        <w:numPr>
          <w:ilvl w:val="0"/>
          <w:numId w:val="101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 Hijacking: БДУ ФСТЭК: УБИ.014; MITRE ATT&amp;CK for ICS: T0855; Техника: Unauthorized Command Message.</w:t>
      </w:r>
    </w:p>
    <w:p>
      <w:pPr>
        <w:numPr>
          <w:ilvl w:val="0"/>
          <w:numId w:val="101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 Injection: БДУ ФСТЭК: УБИ.014; MITRE ATT&amp;CK for ICS: T0836; Техника: Modify Parameter.</w:t>
      </w:r>
    </w:p>
    <w:p>
      <w:pPr>
        <w:numPr>
          <w:ilvl w:val="0"/>
          <w:numId w:val="101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DoS на радиоканал: БДУ ФСТЭК: УБИ.131; MITRE ATT&amp;CK for ICS: T0814; Техника: Denial of Service.</w:t>
      </w:r>
    </w:p>
    <w:p>
      <w:pPr>
        <w:numPr>
          <w:ilvl w:val="0"/>
          <w:numId w:val="101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Компрометация учётной записи: БДУ ФСТЭК: УБИ.037; MITRE ATT&amp;CK for ICS: T0859; Техника: Valid Accounts.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Международная классификация не учитывает специфику российской нормативной базы — БДУ ФСТЭК даёт детализированные описания с указанием объектов воздействия, что соответствует требованиям ГОСТ Р 56939-2016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bookmarkStart w:id="44" w:name="X0e8ccaeb7efc5ded61f7efef542a8ee5bd5772d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1.3 Проектирование архитектуры платформы SafeAgriRoute</w:t>
      </w:r>
    </w:p>
    <w:bookmarkEnd w:id="44"/>
    <w:bookmarkStart w:id="45" w:name="X1e1417ef8e42f019642889c2ca7f614cedd5cf9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1.3.1 Общая архитектура и модель данных</w:t>
      </w:r>
    </w:p>
    <w:bookmarkEnd w:id="45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SafeAgriRoute построена на трёхуровневой клиент-серверной архитектуре с чётким разделением ответственности между слоями: браузерный SPA (Single Page Application) взаимодействует с бэкендом по REST/WebSocket, бэкенд инкапсулирует всю бизнес-логику и взаимодействует с СУБД и SITL-инстансами по MAVLink.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Рисунок 1.1 — Концептуальная архитектура платформы SafeAgriRoute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Архитектура платформы включает три взаимодействующих уровня. Пользователь работает с браузерным React SPA, который через HTTPS REST и WebSocket обращается к FastAPI Backend. Серверный уровень содержит сервис планирования маршрутов, модуль построения карты рисков, модуль перепланирования и сервис MAVLink-интеграции. Нижний уровень представлен ArduPilot SITL-инстансами, подключёнными по MAVLink v2.0 TCP.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Слой данных (Entity Layer) реализован на SQLAlchemy 2 (async) с ORM-моделями для четырёх ключевых сущностей.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1.6 — Модели данных (SQLAlchemy / PostGIS)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Модель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Ключевые поля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Особенности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Связи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Field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id, name, geometry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Geometry(POLYGON, srid=4326)через GeoAlchemy2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RiskZone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id, type, geometry, severity_weight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Geometry(POLYGON, srid=4326), type: jammer/restricted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M:1 к Field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Drone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id, name, battery_capacity, max_speed, status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status: IDLE/ACTIVE/LOST/RTL/LANDED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User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id, email, hashed_password, role, is_active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role: operator/viewer; bcrypt-хеш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Выбор PostgreSQL с расширением PostGIS 3 обеспечивает нативное хранение геометрических объектов типа POLYGON в системе координат WGS 84 (EPSG:4326) и использование пространственных функций SQL: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ST_AsGeoJSON()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сериализации геометрии в GeoJSON,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ST_Contains()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ST_Intersects()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проверки пространственных отношений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BaseRepository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генерик-класс с полным CRUD поверх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AsyncSession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абстрагирующий доступ к базе от роутеров контроллеров. Каждый репозиторий расширяет базовый класс доменными запросами (например,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UserRepository.get_by_email()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ER-диаграмма базы данных включает четыре основных таблицы (fields, risk_zones, drones, users) и таблицу маршрутных точек (route_waypoints), создаваемую в оперативной памяти на время активной миссии. Геометрия полей и зон РЭБ хранится в колонках типа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geometry(POLYGON, 4326)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что позволяет использовать GIST-индексы PostGIS для быстрого пространственного поиска. Запрос нахождения всех зон РЭБ, пересекающихся с полем, выполняется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ST_Intersects(field.geometry, risk_zone.geometry)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 использованием индекса за O(log n).</w:t>
      </w:r>
    </w:p>
    <w:bookmarkStart w:id="46" w:name="X31288b56663b9245b4d734d2a742ce5fe280c48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1.3.2 API-контуры и WebSocket телеметрия</w:t>
      </w:r>
    </w:p>
    <w:bookmarkEnd w:id="46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REST API реализован на FastAPI под базовым префиксом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/api/v1/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 разбивкой по роутерам. JWT-аутентификация (OAuth2 Password Flow) применяется ко всем защищённым эндпоинтам: токены подписываются по алгоритму HS256, срок жизни — 8 часов, секрет задаётся через переменную окружения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JWT_SECRET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1.7 — Основные REST-эндпоинты SafeAgriRoute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Метод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Путь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Минимальная роль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Описание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/auth/login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Возврат JWT-токена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GET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/api/v1/mission/fields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viewer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Список полей с геометрией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GET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/api/v1/mission/risk-zones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viewer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Список зон РЭБ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/api/v1/mission/plan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operator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Запуск алгоритма планирования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/api/v1/mission/start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operator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Загрузка waypoints в SITL и старт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/api/v1/mission/id/simulate-loss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operator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Симуляция потери дрона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/api/v1/mission/id/risk-zones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operator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Добавление зоны РЭБ (replan-триггер)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/api/v1/mission/id/fusion-context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operator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Регистрация контекста для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/api/v1/mission/id/packet-loss/simulate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operator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Симуляция потерь пакетов MAVLink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Матрица доступа реализована через dependency-иерархию FastAPI: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require_operator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(403 если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role != "operator"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 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require_viewer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(любая активная роль). Пароли хешируются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bcrypt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через прямой вызов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bcrypt.hashpw/checkpw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без passlib — ввиду несовместимости passlib с bcrypt 5.x.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WebSocket-контур телеметрии реализован на базе нативных WebSocket FastAPI. Основной эндпоинт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WS /ws/telemetry/mission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предоставляет унифицированный стриминговый поток, объединяющий несколько типов сообщений: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Поток WebSocket объединяет пять типов событий: телеметрию дрона, агрегированную оценку угрозы по каждому борту, список динамических зон риска, обновление интегральной надёжности миссии и событие потери дрона. Такой формат позволяет фронтенду обновлять карту, показатели риска и состояние миссии без отдельных polling-запросов.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Legacy-эндпоинты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WS /ws/telemetry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WS /ws/telemetry/{drone_id}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сохранены для обратной совместимости. Задержка WebSocket-телеметрии не превышает 300 мс при частоте обновления 5 раз в секунду для каждого дрона.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режиме симуляции (когда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SITL_HOSTS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пуст или все подключения упали)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simulation_mode=True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read_telemetry_loop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возвращает позиции, интерполируя по сохранённым точкам маршрута с шагом 0,1 сек. Это обеспечивает возможность демонстрации без физического подключения к ArduPilot SITL.</w:t>
      </w:r>
    </w:p>
    <w:bookmarkStart w:id="47" w:name="Xa49b715ea8982e9a819ae54b2ac7c630d591782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1.3.3 MAVLink-интеграция</w:t>
      </w:r>
    </w:p>
    <w:bookmarkEnd w:id="47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Интеграция с дронами реализована через библиотеку pymavlink 2.x. Синглтон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mavlink_service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инициализируется при старте FastAPI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lifespan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-контекстный менеджер и подключается к дронам из переменной окружения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SITL_HOSTS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Жизненный цикл MAVLink-соединения: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Жизненный цикл MAVLink-соединения построен как последовательность: проверка доступности TCP-сокета, создание pymavlink-соединения, ожидание HEARTBEAT, регистрация активного подключения или перевод системы в simulation mode. После запуска миссии асинхронный цикл телеметрии каждые 200 мс считывает координаты, заряд батареи и heartbeat; при потере heartbeat более чем на 5 секунд дрон переводится в состояние LOST.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Все blocking-вызовы pymavlink выполняются 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asyncio.run_in_executor(None, ...)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event loop не блокируется. Загрузка waypoints выполняется в следующем порядке: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MISSION_CLEAR_ALL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MISSION_COUNT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MISSION_ITEM_INT × 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MAV_CMD_MISSION_START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Обновление миссии в полёте (для replanner) реализовано аналогично: очистка текущей миссии и загрузка нового набора waypoints без посадки дрона.</w:t>
      </w:r>
    </w:p>
    <w:bookmarkStart w:id="48" w:name="Xf1138623644ed90be88cd6e31a523042c0d6995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1.3.4 Обоснование выбора технологий</w:t>
      </w:r>
    </w:p>
    <w:bookmarkEnd w:id="48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разработке SafeAgriRoute был проведён сравнительный анализ технологических альтернатив.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Обоснование архитектурных решений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Web-фреймворк: Выбрано: FastAPI; Альтернатива: Flask, Django; Обоснование выбора: Нативная async-поддержка, автогенерация OpenAPI, Pydantic v2.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СУБД: Выбрано: PostgreSQL + PostGIS; Альтернатива: MySQL + GIS; Обоснование выбора: Зрелая поддержка geom-типов, GIST-индексы, ST_AsGeoJSON.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ORM: Выбрано: SQLAlchemy 2 async; Альтернатива: asyncpg напрямую; Обоснование выбора: Абстракция CRUD, совместимость с GeoAlchemy2.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Пространственная геометрия: Выбрано: Shapely 2.0; Альтернатива: GDAL Python; Обоснование выбора: Pythonic API, высокая скорость, нативная поддержка Numpy.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Граф и оптимизация: Выбрано: NetworkX + OR-Tools; Альтернатива: SciPy, CPLEX; Обоснование выбора: OR-Tools: промышленное качество, бесплатная лицензия; NetworkX: простота API и воспроизводимая модель графовых структур [32].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MAVLink-клиент: Выбрано: pymavlink; Альтернатива: DroneKit; Обоснование выбора: Актуальность (DroneKit deprecated), поддержка ArduPilot/PX4.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Фронтенд: Выбрано: React + Leaflet; Альтернатива: Angular + OpenLayers; Обоснование выбора: Экосистема react-leaflet, малый bundle size, поддержка draw-плагина.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Управление состоянием: Выбрано: Zustand; Альтернатива: Redux Toolkit; Обоснование выбора: Минимальный boilerplate, высокая производительность при частых обновлениях позиций.</w:t>
      </w:r>
    </w:p>
    <w:p>
      <w:pPr>
        <w:numPr>
          <w:ilvl w:val="0"/>
          <w:numId w:val="101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Контейнеризация: Выбрано: Docker + docker-compose; Альтернатива: k8s; Обоснование выбора: Простота для MVP, одна команда развёртывания.</w:t>
      </w:r>
    </w:p>
    <w:bookmarkStart w:id="49" w:name="X1363bc1717b870cb286f535fcb81a1cce8ac8f3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1.3.5 Развёртывание, аутентификация и архитектура фронтенда</w:t>
      </w:r>
    </w:p>
    <w:bookmarkEnd w:id="49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Вся инфраструктура описана 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docker-compose.yml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 запускается командой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docker-compose up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Состав сервисов: postgres (PostgreSQL 15 + PostGIS 3.3), backend (FastAPI + Uvicorn, Python 3.11), frontend (React SPA, Vite dev-server, порт 5173), sitl (опционально — 4 инстанса ArduPilot SITL, порты 14550–14553). Секреты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JWT_SECRET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DATABASE_URL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SITL_HOSTS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 передаются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.env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не включённый в VCS.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Аутентификация реализована по схеме OAuth2 Password Flow + JWT HS256. Токен содержит claims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sub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role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exp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(TTL 8 ч). Роль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operator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получает полный доступ к миссиям, роль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viewer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только чтение. Пароли хранятся в виде bcrypt-хешей (cost factor 12). PostGIS не экспонирует порт 5432 наружу — SQL-инъекции через сетевой уровень исключены.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Фронтенд использует Zustand для глобального состояния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plannedRoutes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telemetry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fusionByDrone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dynamicJammerZones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 и react-leaflet для карты. Компонент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MapArea.tsx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рендерит слои полей, зон РЭБ, маршрутов и позиций дронов (CircleMarker, ~10 обновлений/сек). DrawControl позволяет оператору рисовать новые зоны РЭБ прямо на карте — полигон немедленно отправляется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POST /api/v1/mission/{id}/risk-zones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WebSocket-хуки реализуют экспоненциальный backoff при переподключении.</w:t>
      </w:r>
    </w:p>
    <w:bookmarkStart w:id="50" w:name="X259f805e0a9ba3d0334676cbef3099dd81d35e4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 Алгоритмы маршрутизации и динамического перепланирования</w:t>
      </w:r>
    </w:p>
    <w:bookmarkEnd w:id="50"/>
    <w:bookmarkStart w:id="51" w:name="Xa3bfd798953559f31d18bc64ab94a441aeea5f3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1.4.1 Постановка задачи маршрутизации группы БПЛА</w:t>
      </w:r>
    </w:p>
    <w:bookmarkEnd w:id="51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Задача планирования маршрутов группы агро-БПЛА формализуется как задача маршрутизации транспортных средств с ёмкостными ограничениями (Capacitated Vehicle Routing Problem, CVRP) в риск-взвешенном пространстве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33, 34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для задач опрыскивания БПЛА в произвольных полигонах актуальность coverage path planning и учёта геометрии поля дополнительно подтверждается современными исследованиями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35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Формальная постановка. Пусть задан полигон поля F ⊂ R² и множество зон РЭБ {Z₁, …, Zₘ} с параметрами severity. Имеется k дронов с параметрами {battery_i, speed_i}. Требуется разбить множество целевых точек P = {p₁, …, pₙ} (дискретная аппроксимация поля) на k непересекающихся кластеров C₁, …, Cₖ и для каждого кластера построить маршрут (гамильтонов путь) τᵢ, минимизирующий взвешенную длину пути: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nary>
            <ns2:naryPr>
              <ns2:chr ns2:val="∑"/>
              <ns2:limLoc ns2:val="undOvr"/>
              <ns2:subHide ns2:val="off"/>
              <ns2:supHide ns2:val="on"/>
            </ns2:naryPr>
            <ns2:sub>
              <ns2:r>
                <ns2:t>i</ns2:t>
              </ns2:r>
            </ns2:sub>
            <ns2:sup>
              <ns2:r>
                <ns2:t>​</ns2:t>
              </ns2:r>
            </ns2:sup>
            <ns2:e>
              <ns2:nary>
                <ns2:naryPr>
                  <ns2:chr ns2:val="∑"/>
                  <ns2:limLoc ns2:val="undOvr"/>
                  <ns2:subHide ns2:val="off"/>
                  <ns2:supHide ns2:val="on"/>
                </ns2:naryPr>
                <ns2:sub>
                  <ns2:d>
                    <ns2:dPr>
                      <ns2:begChr ns2:val="("/>
                      <ns2:endChr ns2:val=")"/>
                      <ns2:sepChr ns2:val=""/>
                      <ns2:grow/>
                    </ns2:dPr>
                    <ns2:e>
                      <ns2:r>
                        <ns2:t>a</ns2:t>
                      </ns2:r>
                      <ns2:r>
                        <ns2:rPr>
                          <ns2:sty ns2:val="p"/>
                        </ns2:rPr>
                        <ns2:t>,</ns2:t>
                      </ns2:r>
                      <ns2:r>
                        <ns2:t>b</ns2:t>
                      </ns2:r>
                    </ns2:e>
                  </ns2:d>
                  <ns2:r>
                    <ns2:rPr>
                      <ns2:sty ns2:val="p"/>
                    </ns2:rPr>
                    <ns2:t>∈</ns2:t>
                  </ns2:r>
                  <ns2:sSub>
                    <ns2:e>
                      <ns2:r>
                        <ns2:t>τ</ns2:t>
                      </ns2:r>
                    </ns2:e>
                    <ns2:sub>
                      <ns2:r>
                        <ns2:t>i</ns2:t>
                      </ns2:r>
                    </ns2:sub>
                  </ns2:sSub>
                </ns2:sub>
                <ns2:sup>
                  <ns2:r>
                    <ns2:t>​</ns2:t>
                  </ns2:r>
                </ns2:sup>
                <ns2:e>
                  <ns2:r>
                    <ns2:t>w</ns2:t>
                  </ns2:r>
                </ns2:e>
              </ns2:nary>
            </ns2:e>
          </ns2:nary>
          <ns2:d>
            <ns2:dPr>
              <ns2:begChr ns2:val="("/>
              <ns2:endChr ns2:val=")"/>
              <ns2:sepChr ns2:val=""/>
              <ns2:grow/>
            </ns2:dPr>
            <ns2:e>
              <ns2:r>
                <ns2:t>a</ns2:t>
              </ns2:r>
              <ns2:r>
                <ns2:rPr>
                  <ns2:sty ns2:val="p"/>
                </ns2:rPr>
                <ns2:t>,</ns2:t>
              </ns2:r>
              <ns2:r>
                <ns2:t>b</ns2:t>
              </ns2:r>
            </ns2:e>
          </ns2:d>
          <ns2:r>
            <ns2:rPr>
              <ns2:sty ns2:val="p"/>
            </ns2:rPr>
            <ns2:t>→</ns2:t>
          </ns2:r>
          <ns2:r>
            <ns2:rPr>
              <ns2:sty ns2:val="p"/>
            </ns2:rPr>
            <ns2:t>min</ns2:t>
          </ns2:r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где взвешенная стоимость ребра: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t>w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t>a</ns2:t>
              </ns2:r>
              <ns2:r>
                <ns2:rPr>
                  <ns2:sty ns2:val="p"/>
                </ns2:rPr>
                <ns2:t>,</ns2:t>
              </ns2:r>
              <ns2:r>
                <ns2:t>b</ns2:t>
              </ns2:r>
            </ns2:e>
          </ns2:d>
          <ns2:r>
            <ns2:rPr>
              <ns2:sty ns2:val="p"/>
            </ns2:rPr>
            <ns2:t>=</ns2:t>
          </ns2:r>
          <ns2:r>
            <ns2:rPr>
              <ns2:sty ns2:val="p"/>
            </ns2:rPr>
            <ns2:t>d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s</ns2:t>
          </ns2:r>
          <ns2:r>
            <ns2:rPr>
              <ns2:sty ns2:val="p"/>
            </ns2:rPr>
            <ns2:t>t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t>a</ns2:t>
              </ns2:r>
              <ns2:r>
                <ns2:rPr>
                  <ns2:sty ns2:val="p"/>
                </ns2:rPr>
                <ns2:t>,</ns2:t>
              </ns2:r>
              <ns2:r>
                <ns2:t>b</ns2:t>
              </ns2:r>
            </ns2:e>
          </ns2:d>
          <ns2:r>
            <ns2:rPr>
              <ns2:sty ns2:val="p"/>
            </ns2:rPr>
            <ns2:t>+</ns2:t>
          </ns2:r>
          <ns2:nary>
            <ns2:naryPr>
              <ns2:chr ns2:val="∑"/>
              <ns2:limLoc ns2:val="undOvr"/>
              <ns2:subHide ns2:val="off"/>
              <ns2:supHide ns2:val="on"/>
            </ns2:naryPr>
            <ns2:sub>
              <ns2:sSub>
                <ns2:e>
                  <ns2:r>
                    <ns2:t>Z</ns2:t>
                  </ns2:r>
                </ns2:e>
                <ns2:sub>
                  <ns2:r>
                    <ns2:t>j</ns2:t>
                  </ns2:r>
                </ns2:sub>
              </ns2:sSub>
              <ns2:r>
                <ns2:rPr>
                  <ns2:sty ns2:val="p"/>
                </ns2:rPr>
                <ns2:t>:</ns2:t>
              </ns2:r>
              <ns2:r>
                <ns2:t> </ns2:t>
              </ns2:r>
              <ns2:r>
                <ns2:rPr>
                  <ns2:sty ns2:val="p"/>
                </ns2:rPr>
                <ns2:t>L</ns2:t>
              </ns2:r>
              <ns2:r>
                <ns2:rPr>
                  <ns2:sty ns2:val="p"/>
                </ns2:rPr>
                <ns2:t>i</ns2:t>
              </ns2:r>
              <ns2:r>
                <ns2:rPr>
                  <ns2:sty ns2:val="p"/>
                </ns2:rPr>
                <ns2:t>n</ns2:t>
              </ns2:r>
              <ns2:r>
                <ns2:rPr>
                  <ns2:sty ns2:val="p"/>
                </ns2:rPr>
                <ns2:t>e</ns2:t>
              </ns2:r>
              <ns2:r>
                <ns2:rPr>
                  <ns2:sty ns2:val="p"/>
                </ns2:rPr>
                <ns2:t>S</ns2:t>
              </ns2:r>
              <ns2:r>
                <ns2:rPr>
                  <ns2:sty ns2:val="p"/>
                </ns2:rPr>
                <ns2:t>t</ns2:t>
              </ns2:r>
              <ns2:r>
                <ns2:rPr>
                  <ns2:sty ns2:val="p"/>
                </ns2:rPr>
                <ns2:t>r</ns2:t>
              </ns2:r>
              <ns2:r>
                <ns2:rPr>
                  <ns2:sty ns2:val="p"/>
                </ns2:rPr>
                <ns2:t>i</ns2:t>
              </ns2:r>
              <ns2:r>
                <ns2:rPr>
                  <ns2:sty ns2:val="p"/>
                </ns2:rPr>
                <ns2:t>n</ns2:t>
              </ns2:r>
              <ns2:r>
                <ns2:rPr>
                  <ns2:sty ns2:val="p"/>
                </ns2:rPr>
                <ns2:t>g</ns2:t>
              </ns2:r>
              <ns2:d>
                <ns2:dPr>
                  <ns2:begChr ns2:val="("/>
                  <ns2:endChr ns2:val=")"/>
                  <ns2:sepChr ns2:val=""/>
                  <ns2:grow/>
                </ns2:dPr>
                <ns2:e>
                  <ns2:r>
                    <ns2:t>a</ns2:t>
                  </ns2:r>
                  <ns2:r>
                    <ns2:rPr>
                      <ns2:sty ns2:val="p"/>
                    </ns2:rPr>
                    <ns2:t>,</ns2:t>
                  </ns2:r>
                  <ns2:r>
                    <ns2:t>b</ns2:t>
                  </ns2:r>
                </ns2:e>
              </ns2:d>
              <ns2:r>
                <ns2:t> </ns2:t>
              </ns2:r>
              <ns2:r>
                <ns2:rPr>
                  <ns2:sty ns2:val="p"/>
                </ns2:rPr>
                <ns2:t>∩</ns2:t>
              </ns2:r>
              <ns2:r>
                <ns2:t> </ns2:t>
              </ns2:r>
              <ns2:sSub>
                <ns2:e>
                  <ns2:r>
                    <ns2:t>Z</ns2:t>
                  </ns2:r>
                </ns2:e>
                <ns2:sub>
                  <ns2:r>
                    <ns2:t>j</ns2:t>
                  </ns2:r>
                </ns2:sub>
              </ns2:sSub>
              <ns2:r>
                <ns2:rPr>
                  <ns2:sty ns2:val="p"/>
                </ns2:rPr>
                <ns2:t>≠</ns2:t>
              </ns2:r>
              <ns2:r>
                <ns2:rPr>
                  <ns2:sty ns2:val="p"/>
                </ns2:rPr>
                <ns2:t>⌀</ns2:t>
              </ns2:r>
            </ns2:sub>
            <ns2:sup>
              <ns2:r>
                <ns2:t>​</ns2:t>
              </ns2:r>
            </ns2:sup>
            <ns2:e>
              <ns2:sSub>
                <ns2:e>
                  <ns2:r>
                    <ns2:rPr>
                      <ns2:sty ns2:val="p"/>
                    </ns2:rPr>
                    <ns2:t>s</ns2:t>
                  </ns2:r>
                  <ns2:r>
                    <ns2:rPr>
                      <ns2:sty ns2:val="p"/>
                    </ns2:rPr>
                    <ns2:t>e</ns2:t>
                  </ns2:r>
                  <ns2:r>
                    <ns2:rPr>
                      <ns2:sty ns2:val="p"/>
                    </ns2:rPr>
                    <ns2:t>v</ns2:t>
                  </ns2:r>
                  <ns2:r>
                    <ns2:rPr>
                      <ns2:sty ns2:val="p"/>
                    </ns2:rPr>
                    <ns2:t>e</ns2:t>
                  </ns2:r>
                  <ns2:r>
                    <ns2:rPr>
                      <ns2:sty ns2:val="p"/>
                    </ns2:rPr>
                    <ns2:t>r</ns2:t>
                  </ns2:r>
                  <ns2:r>
                    <ns2:rPr>
                      <ns2:sty ns2:val="p"/>
                    </ns2:rPr>
                    <ns2:t>i</ns2:t>
                  </ns2:r>
                  <ns2:r>
                    <ns2:rPr>
                      <ns2:sty ns2:val="p"/>
                    </ns2:rPr>
                    <ns2:t>t</ns2:t>
                  </ns2:r>
                  <ns2:r>
                    <ns2:rPr>
                      <ns2:sty ns2:val="p"/>
                    </ns2:rPr>
                    <ns2:t>y</ns2:t>
                  </ns2:r>
                </ns2:e>
                <ns2:sub>
                  <ns2:r>
                    <ns2:t>j</ns2:t>
                  </ns2:r>
                </ns2:sub>
              </ns2:sSub>
            </ns2:e>
          </ns2:nary>
          <ns2:r>
            <ns2:rPr>
              <ns2:sty ns2:val="p"/>
            </ns2:rPr>
            <ns2:t>⋅</ns2:t>
          </ns2:r>
          <ns2:r>
            <ns2:t>500</ns2:t>
          </ns2:r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Ограничения: - Каждая точка p ∈ P  {p: R(p) = 1} включена ровно в один кластер - Суммарная нагрузка кластера Cᵢ пропорциональна ресурсу дрона i: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Σ_{p∈Cᵢ} w(p) / battery_i ≤ 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- Время планирования ≤ 5 секунд для P ≤ 500 и k ≤ 4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Задача CVRP в общем случае является NP-трудной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33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Для её решения применяется двухэтапный подход: на первом этапе — риск-взвешенный Voronoi для кластеризации, на втором — OR-Tools для оптимизации порядка обхода внутри каждого кластера.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Сравнение подходов к решению VRP для агрономических приложений приведено в таблице 1.8.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1.8 — Сравнение методов решения задачи маршрутизации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Метод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Сложность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Качество решения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Применимость к MVP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Полный перебор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O(n!)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Оптимальное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Нет (n 15 недопустимо)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Генетический алгоритм (GA)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O(gen × pop × n²)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Близкое к оптимальному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Частично (сложнее настройка)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Метаэвристика PSO/GWO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O(iter × swarm × n²)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Хорошее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Частично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OR-Tools PATH_CHEAPEST_ARC + 2-opt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O(n²)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~85-95 % от оптимального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Жадный NN-алгоритм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O(n²)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~70-80 % от оптимального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Да (для replanner)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OR-Tools выбран как наиболее сбалансированное решение: промышленное качество оптимизации, бесплатная Apache 2.0 лицензия, активная поддержка Google, простая Python-интеграция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Классическая эвристика Кристофидеса остаётся важной теоретической основой приближённых решений метрической задачи коммивояжёра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37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однако для MVP предпочтительнее готовая реализация OR-Tools с детерминированным временем выполнения.</w:t>
      </w:r>
    </w:p>
    <w:bookmarkStart w:id="52" w:name="X52b6531c2763999ffab640178d73c2684b8a945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1.4.2 Построение дискретной карты рисков</w:t>
      </w:r>
    </w:p>
    <w:bookmarkEnd w:id="52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Алгоритм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build_risk_map()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risk_map.py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строит дискретную numpy-сетку риска над областью поля.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Псевдокод алгоритма build_risk_map: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Алгоритм построения карты рисков выполняется в четыре этапа: сначала определяется bounding box поля, затем формируется регулярная сетка с шагом 0,0002°, после этого для каждой ячейки рассчитывается вклад jammer- и restricted-зон, а на выходе формируется список точек внутри полигона поля с рассчитанным значением риска. Сложность алгоритма составляет O(G² × M), где G — размер стороны сетки, M — число зон риска.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поля 500 га с шагом 0,0002° (~22 м) сетка содержит порядка 67 × 45 = 3015 ячеек. При двух зонах РЭБ время расчёта составляет 8–15 мс на стандартном серверном CPU, что укладывается в бюджет 5 секунд на полное планирование.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Ключевой особенностью является линейное затухание риска от границы jammer-зоны в радиусе 0,005° (~500 м). Это физически обоснованно: интенсивность электромагнитного излучения спадает как 1/r², однако для простоты расчёта и консервативности оценки применяется линейная модель, которая overestimates риск вблизи границы зоны, что предпочтительно с точки зрения безопасности. Аналогичный подход к дискретизации пространства рисков описан в работах по покрытию маршрутами с ограничениями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bookmarkStart w:id="53" w:name="risk-weighted-voronoi-decomposition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1.4.3 Risk-Weighted Voronoi Decomposition</w:t>
      </w:r>
    </w:p>
    <w:bookmarkEnd w:id="53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Классический алгоритм k-средних делит поле на k равных по числу точек кластеров без учёта рисковой обстановки. Risk-Weighted Voronoi Decomposition — модификация алгоритма Ллойда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опирающаяся на свойства диаграмм Вороного как базовой структуры вычислительной геометрии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Каждой точке присваивается вес, обратно пропорциональный «безопасности» ячейки. Это «отталкивает» центроиды от опасных зон, создавая кластеры, концентрирующиеся в безопасных областях поля.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Псевдокод Risk-Weighted Voronoi (файл routing_service.py):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Risk-Weighted Voronoi Decomposition начинается с равномерной инициализации k центроидов. На каждой итерации точки назначаются ближайшему центроиду с поправкой на вес риска, после чего центроиды пересчитываются как взвешенные средние координаты кластеров. Итерации завершаются при стабилизации центроидов или достижении лимита max_iter = 50. Для n = 3000 и k = 4 алгоритм сходится за 15–30 итераций.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Назначение дронов на кластеры (жадный алгоритм):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Назначение дронов на кластеры выполняется жадно: для каждого кластера рассчитывается суммарная риск-нагрузка, для каждого дрона — ресурс battery × max_speed, затем кластеры и дроны сортируются по убыванию и сопоставляются попарно. При k ≤ 4 такой подход даёт близкое к оптимальному распределение без затрат на точный алгоритм назначения.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Жадное назначение соответствует эвристическому решению задачи о назначении (Assignment Problem) за O(k log k). Точное решение через венгерский алгоритм имеет сложность O(k³), однако при k ≤ 4 разница незначительна, а жадное решение обеспечивает качество ≥ 90 % от оптимального для симметричных распределений нагрузки.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 рисунке 1.2 концептуально иллюстрируется разница между классическим k-means и Risk-Weighted Voronoi: при наличии jammer-зоны в центре поля классический алгоритм включает опасные точки в кластеры, тогда как RWVD формирует кластеры, огибающие зону с обеих сторон.</w:t>
      </w:r>
    </w:p>
    <w:bookmarkStart w:id="54" w:name="Xb702deb0d080bfafbb37656c53db89edd23458e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1.4.4 Penalty-граф и решение CVRP через OR-Tools</w:t>
      </w:r>
    </w:p>
    <w:bookmarkEnd w:id="54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После разбивки поля на кластеры для каждого дрона решается задача TSP (Travelling Salesman Problem) — оптимального обхода точек его кластера.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Построение penalty-графа (файл routing_service.py):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Penalty-граф в этой работе используется как простой способ «объяснить» алгоритму, какие перелёты нежелательны. Узлами графа становятся точки маршрута, а ребро между двумя точками получает базовую стоимость, равную евклидову расстоянию. Если отрезок пересекает зону РЭБ, к этой стоимости добавляется штраф severity × 500. В результате короткий, но опасный перелёт проигрывает более длинному безопасному обходу.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Коэффициент 500 подобран на серии прогонов. При severity ≥ 0,1 даже обход, который в 3–4 раза длиннее прямого сегмента, остаётся дешевле пролёта через опасную область. Для severity = 1,0 штраф равен 500, тогда как расстояние между соседними точками сетки обычно составляет 0,0002° (примерно 22 м). Разница в масштабе получается огромной: 500/0,0002 = 2 500 000. На практике это означает, что маршрут через jammer-зону будет выбран только при отсутствии альтернативы. При этом веса остаются неотрицательными, а значит постановка не конфликтует с классическими алгоритмами поиска кратчайших путей во взвешенном графе, включая алгоритм Дейкстры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 MVP порядок обхода точек далее оптимизируется через OR-Tools.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Решение CVRP через OR-Tools: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CVRP используется Google OR-Tools. Сначала веса penalty-графа переводятся из вещественного формата в целочисленный, поскольку этого требует solver. Затем создаются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RoutingIndexManager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RoutingModel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подключается callback стоимости ребра и запускается стратегия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PATH_CHEAPEST_ARC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Выход solver-а после этого переводится в список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RoutePoint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который уже можно передать в миссию дрона.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Эвристика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PATH_CHEAPEST_ARC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даёт быстрый стартовый маршрут: на каждом шаге выбирается самое дешёвое ребро из текущей точки. После этого применяется локальное улучшение 2-opt. По сложности это O(n²) для жадного построения и O(n² × iter) для стадии улучшения. В экспериментальной конфигурации при n = 67 точках на кластер решение TSP занимает 8–15 мс.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Характеристики алгоритма OR-Tools для планирования маршрутов</w:t>
      </w:r>
    </w:p>
    <w:p>
      <w:pPr>
        <w:numPr>
          <w:ilvl w:val="0"/>
          <w:numId w:val="101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Эвристика: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PATH_CHEAPEST_ARC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на практике это быстрый жадный старт с последующим 2-opt.</w:t>
      </w:r>
    </w:p>
    <w:p>
      <w:pPr>
        <w:numPr>
          <w:ilvl w:val="0"/>
          <w:numId w:val="101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Масштабирование весов: 100 000 000; так вещественные стоимости переводятся в формат, с которым работает OR-Tools.</w:t>
      </w:r>
    </w:p>
    <w:p>
      <w:pPr>
        <w:numPr>
          <w:ilvl w:val="0"/>
          <w:numId w:val="101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Время решения TSP при n=67: 8–15 мс на одном потоке AMD EPYC.</w:t>
      </w:r>
    </w:p>
    <w:p>
      <w:pPr>
        <w:numPr>
          <w:ilvl w:val="0"/>
          <w:numId w:val="101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Полное планирование для 4 дронов и поля 500 га укладывается в 5 сек, включая risk_map, Voronoi-разбиение и четыре TSP-задачи.</w:t>
      </w:r>
    </w:p>
    <w:p>
      <w:pPr>
        <w:numPr>
          <w:ilvl w:val="0"/>
          <w:numId w:val="101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Качество решения в тестах находится на уровне 85–95 % от точного решения.</w:t>
      </w:r>
    </w:p>
    <w:bookmarkStart w:id="55" w:name="X4fa78fe81f7bd5594be46a92e054e146046eac8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1.4.5 Динамическое перепланирование (replanner.py)</w:t>
      </w:r>
    </w:p>
    <w:bookmarkEnd w:id="55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Алгоритм динамического перепланирования реализует два независимых сценария, обе ветки которых сходятся к одному выходному формату — обновлённым спискам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RoutePoint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каждого активного дрона.</w:t>
      </w:r>
    </w:p>
    <w:bookmarkStart w:id="56" w:name="Xc76929b64ccdfa723366fe74b079ef8c25141d3"/>
    <w:p>
      <w:pPr>
        <w:pStyle w:val="Heading5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A — потеря дрона (</w:t>
      </w:r>
      <w:r>
        <w:rPr>
          <w:b/>
          <w:bCs/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replan_on_drone_loss</w:t>
      </w: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)</w:t>
      </w:r>
    </w:p>
    <w:bookmarkEnd w:id="56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Триггер: heartbeat пропал &gt;5 секунд; устанавливается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status = LOST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Перепланирование при потере дрона начинается с определения непокрытых точек его маршрута. Затем для каждой точки выбирается ближайший активный дрон с учётом остатка батареи, после чего маршруты активных дронов перестраиваются локально. Сложность процедуры оценивается как O(|uncovered| × k + k × n²_cluster), что для k = 3 и n = 67 укладывается в миллисекундный бюджет.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Жадный алгоритм NN-TSP (nearest-neighbor) для replanner: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replanner используется упрощённый nearest-neighbor TSP: маршрут начинается с первой точки, затем на каждом шаге выбирается ближайшая ещё не посещённая точка. Для ускорения сравнения используется squared Euclidean distance, так как извлечение квадратного корня не меняет порядок расстояний.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Использование squared Euclidean вместо полного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sqrt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ускоряет каждую итерацию в ~1,5 раза без изменения результата (монотонность расстояний сохраняется).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Все CPU-интенсивные операции replanner выполняются 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asyncio.run_in_executor(None, ...)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event loop не блокируется, WebSocket-соединения с браузером продолжают работу. Целевое время выполнения ≤ 500 мс для 4 дронов и 200 waypoints, что подтверждено нагрузочным тестированием.</w:t>
      </w:r>
    </w:p>
    <w:bookmarkStart w:id="57" w:name="X8c2de48217a86942d9d81519a97b970e403ce50"/>
    <w:p>
      <w:pPr>
        <w:pStyle w:val="Heading5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B — новая зона РЭБ (</w:t>
      </w:r>
      <w:r>
        <w:rPr>
          <w:b/>
          <w:bCs/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replan_on_new_risk_zone</w:t>
      </w: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)</w:t>
      </w:r>
    </w:p>
    <w:bookmarkEnd w:id="57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Триггер: оператор добавил полигон зоны РЭБ через UI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POST /api/v1/mission/{id}/risk-zones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добавлении новой зоны риска система инкрементально обновляет risk_map, определяет маршруты, пересекающие новый полигон, сохраняет безопасные уже пройденные участки и пересчитывает только затронутые хвосты маршрутов. После успешного расчёта новые waypoints отправляются активным дронам без остановки всей миссии.</w:t>
      </w:r>
    </w:p>
    <w:bookmarkStart w:id="58" w:name="X80f85591b95ff1e38988fe383277aa043079be9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1.4.6 Эвристический контур обнаружения угроз</w:t>
      </w:r>
    </w:p>
    <w:bookmarkEnd w:id="58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Эвристический контур реализует автоматическое обнаружение потенциальных зон глушения по телеметрии MAVLink без явного задания полигонов оператором. Контур не заменяет базовый сценарий ручного добавления зон, но дополняет его в тарифном плане «Бизнес».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Обнаружение угроз в MVP вынесено в три связанных модуля: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telemetry_features.py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извлекает признаки из MAVLink-телеметрии по скользящему окну из 20 последних сообщений:</w:t>
      </w:r>
    </w:p>
    <w:p>
      <w:pPr>
        <w:numPr>
          <w:ilvl w:val="0"/>
          <w:numId w:val="101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GNSS-прокси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gps_stability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): дисперсия скорости изменения позиции; резкие колебания обычно указывают на нестабильный сигнал ГНСС.</w:t>
      </w:r>
    </w:p>
    <w:p>
      <w:pPr>
        <w:numPr>
          <w:ilvl w:val="0"/>
          <w:numId w:val="101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Канал-прокси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link_quality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): качество связи оценивается через PLR (Packet Loss Rate), то есть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lost_packets / max(total_packets, 1)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numPr>
          <w:ilvl w:val="0"/>
          <w:numId w:val="101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IMU-прокси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imu_jerk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): вторые разности координат используются как приближение к резким изменениям траектории, характерным для спуфинга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19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numPr>
          <w:ilvl w:val="0"/>
          <w:numId w:val="101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Согласованность роя (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swarm_consensus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): проверяется, насколько позиция одного дрона выбивается из интерполированных позиций соседних аппаратов.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threat_fusion.py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сводит эти признаки к одной числовой оценке угрозы: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rPr>
              <ns2:sty ns2:val="p"/>
            </ns2:rPr>
            <ns2:t>t</ns2:t>
          </ns2:r>
          <ns2:r>
            <ns2:rPr>
              <ns2:sty ns2:val="p"/>
            </ns2:rPr>
            <ns2:t>h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a</ns2:t>
          </ns2:r>
          <ns2:r>
            <ns2:rPr>
              <ns2:sty ns2:val="p"/>
            </ns2:rPr>
            <ns2:t>t</ns2:t>
          </ns2:r>
          <ns2:r>
            <ns2:rPr>
              <ns2:sty ns2:val="p"/>
            </ns2:rPr>
            <ns2:t>_</ns2:t>
          </ns2:r>
          <ns2:r>
            <ns2:rPr>
              <ns2:sty ns2:val="p"/>
            </ns2:rPr>
            <ns2:t>s</ns2:t>
          </ns2:r>
          <ns2:r>
            <ns2:rPr>
              <ns2:sty ns2:val="p"/>
            </ns2:rPr>
            <ns2:t>c</ns2:t>
          </ns2:r>
          <ns2:r>
            <ns2:rPr>
              <ns2:sty ns2:val="p"/>
            </ns2:rPr>
            <ns2:t>o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=</ns2:t>
          </ns2:r>
          <ns2:sSub>
            <ns2:e>
              <ns2:r>
                <ns2:t>w</ns2:t>
              </ns2:r>
            </ns2:e>
            <ns2:sub>
              <ns2:r>
                <ns2:rPr>
                  <ns2:sty ns2:val="p"/>
                </ns2:rPr>
                <ns2:t>g</ns2:t>
              </ns2:r>
              <ns2:r>
                <ns2:rPr>
                  <ns2:sty ns2:val="p"/>
                </ns2:rPr>
                <ns2:t>p</ns2:t>
              </ns2:r>
              <ns2:r>
                <ns2:rPr>
                  <ns2:sty ns2:val="p"/>
                </ns2:rPr>
                <ns2:t>s</ns2:t>
              </ns2:r>
            </ns2:sub>
          </ns2:sSub>
          <ns2:r>
            <ns2:rPr>
              <ns2:sty ns2:val="p"/>
            </ns2:rPr>
            <ns2:t>⋅</ns2:t>
          </ns2:r>
          <ns2:r>
            <ns2:rPr>
              <ns2:sty ns2:val="p"/>
            </ns2:rPr>
            <ns2:t>g</ns2:t>
          </ns2:r>
          <ns2:r>
            <ns2:rPr>
              <ns2:sty ns2:val="p"/>
            </ns2:rPr>
            <ns2:t>p</ns2:t>
          </ns2:r>
          <ns2:r>
            <ns2:rPr>
              <ns2:sty ns2:val="p"/>
            </ns2:rPr>
            <ns2:t>s</ns2:t>
          </ns2:r>
          <ns2:r>
            <ns2:rPr>
              <ns2:sty ns2:val="p"/>
            </ns2:rPr>
            <ns2:t>_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n</ns2:t>
          </ns2:r>
          <ns2:r>
            <ns2:rPr>
              <ns2:sty ns2:val="p"/>
            </ns2:rPr>
            <ns2:t>s</ns2:t>
          </ns2:r>
          <ns2:r>
            <ns2:rPr>
              <ns2:sty ns2:val="p"/>
            </ns2:rPr>
            <ns2:t>t</ns2:t>
          </ns2:r>
          <ns2:r>
            <ns2:rPr>
              <ns2:sty ns2:val="p"/>
            </ns2:rPr>
            <ns2:t>a</ns2:t>
          </ns2:r>
          <ns2:r>
            <ns2:rPr>
              <ns2:sty ns2:val="p"/>
            </ns2:rPr>
            <ns2:t>b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l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t</ns2:t>
          </ns2:r>
          <ns2:r>
            <ns2:rPr>
              <ns2:sty ns2:val="p"/>
            </ns2:rPr>
            <ns2:t>y</ns2:t>
          </ns2:r>
          <ns2:r>
            <ns2:rPr>
              <ns2:sty ns2:val="p"/>
            </ns2:rPr>
            <ns2:t>+</ns2:t>
          </ns2:r>
          <ns2:sSub>
            <ns2:e>
              <ns2:r>
                <ns2:t>w</ns2:t>
              </ns2:r>
            </ns2:e>
            <ns2:sub>
              <ns2:r>
                <ns2:rPr>
                  <ns2:sty ns2:val="p"/>
                </ns2:rPr>
                <ns2:t>l</ns2:t>
              </ns2:r>
              <ns2:r>
                <ns2:rPr>
                  <ns2:sty ns2:val="p"/>
                </ns2:rPr>
                <ns2:t>i</ns2:t>
              </ns2:r>
              <ns2:r>
                <ns2:rPr>
                  <ns2:sty ns2:val="p"/>
                </ns2:rPr>
                <ns2:t>n</ns2:t>
              </ns2:r>
              <ns2:r>
                <ns2:rPr>
                  <ns2:sty ns2:val="p"/>
                </ns2:rPr>
                <ns2:t>k</ns2:t>
              </ns2:r>
            </ns2:sub>
          </ns2:sSub>
          <ns2:r>
            <ns2:rPr>
              <ns2:sty ns2:val="p"/>
            </ns2:rPr>
            <ns2:t>⋅</ns2:t>
          </ns2:r>
          <ns2:r>
            <ns2:rPr>
              <ns2:sty ns2:val="p"/>
            </ns2:rPr>
            <ns2:t>p</ns2:t>
          </ns2:r>
          <ns2:r>
            <ns2:rPr>
              <ns2:sty ns2:val="p"/>
            </ns2:rPr>
            <ns2:t>l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+</ns2:t>
          </ns2:r>
          <ns2:sSub>
            <ns2:e>
              <ns2:r>
                <ns2:t>w</ns2:t>
              </ns2:r>
            </ns2:e>
            <ns2:sub>
              <ns2:r>
                <ns2:rPr>
                  <ns2:sty ns2:val="p"/>
                </ns2:rPr>
                <ns2:t>i</ns2:t>
              </ns2:r>
              <ns2:r>
                <ns2:rPr>
                  <ns2:sty ns2:val="p"/>
                </ns2:rPr>
                <ns2:t>m</ns2:t>
              </ns2:r>
              <ns2:r>
                <ns2:rPr>
                  <ns2:sty ns2:val="p"/>
                </ns2:rPr>
                <ns2:t>u</ns2:t>
              </ns2:r>
            </ns2:sub>
          </ns2:sSub>
          <ns2:r>
            <ns2:rPr>
              <ns2:sty ns2:val="p"/>
            </ns2:rPr>
            <ns2:t>⋅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m</ns2:t>
          </ns2:r>
          <ns2:r>
            <ns2:rPr>
              <ns2:sty ns2:val="p"/>
            </ns2:rPr>
            <ns2:t>u</ns2:t>
          </ns2:r>
          <ns2:r>
            <ns2:rPr>
              <ns2:sty ns2:val="p"/>
            </ns2:rPr>
            <ns2:t>_</ns2:t>
          </ns2:r>
          <ns2:r>
            <ns2:rPr>
              <ns2:sty ns2:val="p"/>
            </ns2:rPr>
            <ns2:t>j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k</ns2:t>
          </ns2:r>
          <ns2:r>
            <ns2:rPr>
              <ns2:sty ns2:val="p"/>
            </ns2:rPr>
            <ns2:t>+</ns2:t>
          </ns2:r>
          <ns2:sSub>
            <ns2:e>
              <ns2:r>
                <ns2:t>w</ns2:t>
              </ns2:r>
            </ns2:e>
            <ns2:sub>
              <ns2:r>
                <ns2:rPr>
                  <ns2:sty ns2:val="p"/>
                </ns2:rPr>
                <ns2:t>s</ns2:t>
              </ns2:r>
              <ns2:r>
                <ns2:rPr>
                  <ns2:sty ns2:val="p"/>
                </ns2:rPr>
                <ns2:t>w</ns2:t>
              </ns2:r>
              <ns2:r>
                <ns2:rPr>
                  <ns2:sty ns2:val="p"/>
                </ns2:rPr>
                <ns2:t>a</ns2:t>
              </ns2:r>
              <ns2:r>
                <ns2:rPr>
                  <ns2:sty ns2:val="p"/>
                </ns2:rPr>
                <ns2:t>r</ns2:t>
              </ns2:r>
              <ns2:r>
                <ns2:rPr>
                  <ns2:sty ns2:val="p"/>
                </ns2:rPr>
                <ns2:t>m</ns2:t>
              </ns2:r>
            </ns2:sub>
          </ns2:sSub>
          <ns2:r>
            <ns2:rPr>
              <ns2:sty ns2:val="p"/>
            </ns2:rPr>
            <ns2:t>⋅</ns2:t>
          </ns2:r>
          <ns2:r>
            <ns2:rPr>
              <ns2:sty ns2:val="p"/>
            </ns2:rPr>
            <ns2:t>s</ns2:t>
          </ns2:r>
          <ns2:r>
            <ns2:rPr>
              <ns2:sty ns2:val="p"/>
            </ns2:rPr>
            <ns2:t>w</ns2:t>
          </ns2:r>
          <ns2:r>
            <ns2:rPr>
              <ns2:sty ns2:val="p"/>
            </ns2:rPr>
            <ns2:t>a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m</ns2:t>
          </ns2:r>
          <ns2:r>
            <ns2:rPr>
              <ns2:sty ns2:val="p"/>
            </ns2:rPr>
            <ns2:t>_</ns2:t>
          </ns2:r>
          <ns2:r>
            <ns2:rPr>
              <ns2:sty ns2:val="p"/>
            </ns2:rPr>
            <ns2:t>d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v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a</ns2:t>
          </ns2:r>
          <ns2:r>
            <ns2:rPr>
              <ns2:sty ns2:val="p"/>
            </ns2:rPr>
            <ns2:t>t</ns2:t>
          </ns2:r>
          <ns2:r>
            <ns2:rPr>
              <ns2:sty ns2:val="p"/>
            </ns2:rPr>
            <ns2:t>i</ns2:t>
          </ns2:r>
          <ns2:r>
            <ns2:rPr>
              <ns2:sty ns2:val="p"/>
            </ns2:rPr>
            <ns2:t>o</ns2:t>
          </ns2:r>
          <ns2:r>
            <ns2:rPr>
              <ns2:sty ns2:val="p"/>
            </ns2:rPr>
            <ns2:t>n</ns2:t>
          </ns2:r>
        </ns2:oMath>
      </ns2:oMathPara>
    </w:p>
    <w:p>
      <w:pPr>
        <w:pStyle w:val="FirstParagraph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rPr>
              <ns2:sty ns2:val="p"/>
            </ns2:rPr>
            <ns2:t>j</ns2:t>
          </ns2:r>
          <ns2:r>
            <ns2:rPr>
              <ns2:sty ns2:val="p"/>
            </ns2:rPr>
            <ns2:t>a</ns2:t>
          </ns2:r>
          <ns2:r>
            <ns2:rPr>
              <ns2:sty ns2:val="p"/>
            </ns2:rPr>
            <ns2:t>m</ns2:t>
          </ns2:r>
          <ns2:r>
            <ns2:rPr>
              <ns2:sty ns2:val="p"/>
            </ns2:rPr>
            <ns2:t>_</ns2:t>
          </ns2:r>
          <ns2:r>
            <ns2:rPr>
              <ns2:sty ns2:val="p"/>
            </ns2:rPr>
            <ns2:t>p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o</ns2:t>
          </ns2:r>
          <ns2:r>
            <ns2:rPr>
              <ns2:sty ns2:val="p"/>
            </ns2:rPr>
            <ns2:t>b</ns2:t>
          </ns2:r>
          <ns2:r>
            <ns2:rPr>
              <ns2:sty ns2:val="p"/>
            </ns2:rPr>
            <ns2:t>=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M</ns2:t>
          </ns2:r>
          <ns2:r>
            <ns2:rPr>
              <ns2:sty ns2:val="p"/>
            </ns2:rPr>
            <ns2:t>A</ns2:t>
          </ns2:r>
          <ns2:d>
            <ns2:dPr>
              <ns2:begChr ns2:val="("/>
              <ns2:endChr ns2:val=")"/>
              <ns2:sepChr ns2:val=""/>
              <ns2:grow/>
            </ns2:dPr>
            <ns2:e>
              <ns2:r>
                <ns2:rPr>
                  <ns2:sty ns2:val="p"/>
                </ns2:rPr>
                <ns2:t>t</ns2:t>
              </ns2:r>
              <ns2:r>
                <ns2:rPr>
                  <ns2:sty ns2:val="p"/>
                </ns2:rPr>
                <ns2:t>h</ns2:t>
              </ns2:r>
              <ns2:r>
                <ns2:rPr>
                  <ns2:sty ns2:val="p"/>
                </ns2:rPr>
                <ns2:t>r</ns2:t>
              </ns2:r>
              <ns2:r>
                <ns2:rPr>
                  <ns2:sty ns2:val="p"/>
                </ns2:rPr>
                <ns2:t>e</ns2:t>
              </ns2:r>
              <ns2:r>
                <ns2:rPr>
                  <ns2:sty ns2:val="p"/>
                </ns2:rPr>
                <ns2:t>a</ns2:t>
              </ns2:r>
              <ns2:r>
                <ns2:rPr>
                  <ns2:sty ns2:val="p"/>
                </ns2:rPr>
                <ns2:t>t</ns2:t>
              </ns2:r>
              <ns2:r>
                <ns2:rPr>
                  <ns2:sty ns2:val="p"/>
                </ns2:rPr>
                <ns2:t>_</ns2:t>
              </ns2:r>
              <ns2:r>
                <ns2:rPr>
                  <ns2:sty ns2:val="p"/>
                </ns2:rPr>
                <ns2:t>s</ns2:t>
              </ns2:r>
              <ns2:r>
                <ns2:rPr>
                  <ns2:sty ns2:val="p"/>
                </ns2:rPr>
                <ns2:t>c</ns2:t>
              </ns2:r>
              <ns2:r>
                <ns2:rPr>
                  <ns2:sty ns2:val="p"/>
                </ns2:rPr>
                <ns2:t>o</ns2:t>
              </ns2:r>
              <ns2:r>
                <ns2:rPr>
                  <ns2:sty ns2:val="p"/>
                </ns2:rPr>
                <ns2:t>r</ns2:t>
              </ns2:r>
              <ns2:r>
                <ns2:rPr>
                  <ns2:sty ns2:val="p"/>
                </ns2:rPr>
                <ns2:t>e</ns2:t>
              </ns2:r>
              <ns2:r>
                <ns2:rPr>
                  <ns2:sty ns2:val="p"/>
                </ns2:rPr>
                <ns2:t>,</ns2:t>
              </ns2:r>
              <ns2:r>
                <ns2:t> </ns2:t>
              </ns2:r>
              <ns2:r>
                <ns2:t>α</ns2:t>
              </ns2:r>
              <ns2:r>
                <ns2:rPr>
                  <ns2:sty ns2:val="p"/>
                </ns2:rPr>
                <ns2:t>=</ns2:t>
              </ns2:r>
              <ns2:r>
                <ns2:t>0</ns2:t>
              </ns2:r>
              <ns2:r>
                <ns2:rPr>
                  <ns2:sty ns2:val="p"/>
                </ns2:rPr>
                <ns2:t>,</ns2:t>
              </ns2:r>
              <ns2:r>
                <ns2:t>3</ns2:t>
              </ns2:r>
            </ns2:e>
          </ns2:d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ns2:oMath>
        <ns2:r>
          <ns2:rPr>
            <ns2:sty ns2:val="p"/>
          </ns2:rPr>
          <ns2:t>E</ns2:t>
        </ns2:r>
        <ns2:r>
          <ns2:rPr>
            <ns2:sty ns2:val="p"/>
          </ns2:rPr>
          <ns2:t>M</ns2:t>
        </ns2:r>
        <ns2:r>
          <ns2:rPr>
            <ns2:sty ns2:val="p"/>
          </ns2:rPr>
          <ns2:t>A</ns2:t>
        </ns2:r>
      </ns2:oMath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экспоненциальное скользящее среднее.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Веса задаются 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app/core/config.py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FUSION_WEIGHT_GPS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FUSION_WEIGHT_PLR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FUSION_WEIGHT_IMU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FUSION_WEIGHT_SWARM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Это оставляет возможность подстраивать чувствительность без изменения кода.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mission_fusion_runtime.py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отвечает за состояние детектора и гистерезис: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Логика намеренно сделана консервативной. Детектор работает в состояниях NORMAL, SUSPECTED и ALARMED, а после перепланирования возвращается в NORMAL. Одного всплеска недостаточно для тревоги: сначала превышается warning-порог, затем нужны три последовательных превышения alarm-порога. Только после этого вокруг проблемного дрона строится кандидатная зона риска радиусом 300 м и запускается перепланирование. После успешного replan действует cooldown 30 секунд.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Контекст fusion включается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POST /api/v1/mission/{id}/fusion-context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 клиент передаёт пороги и веса для конкретной миссии. Дальше результаты идут в основной WebSocket-поток событиями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fusion_by_drone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dynamic_zones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поэтому интерфейсу не нужны отдельные polling-запросы.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 текущей реализации есть понятные ограничения. В MVP нет отдельных драйверов SDR-приёмников, аппаратного IMU и обучаемой fusion-модели; все прокси-признаки считаются по одному MAVLink-потоку. Такой вариант уступает полноценной многодатчиковой схеме по точности, зато работает без дополнительного оборудования и подходит для демонстрационного стенда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bookmarkStart w:id="59" w:name="Xac377e29c8f7929af74e44fffdf2d274f34730b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1.4.7 Анализ сложности алгоритмического стека</w:t>
      </w:r>
    </w:p>
    <w:bookmarkEnd w:id="59"/>
    <w:p>
      <w:pPr>
        <w:numPr>
          <w:ilvl w:val="0"/>
          <w:numId w:val="101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Построение risk_map: O(G² × M), в MVP занимает 8–15 мс.</w:t>
      </w:r>
    </w:p>
    <w:p>
      <w:pPr>
        <w:numPr>
          <w:ilvl w:val="0"/>
          <w:numId w:val="101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Risk-Weighted Voronoi: O(I × N × K), измеренное время около 50 мс.</w:t>
      </w:r>
    </w:p>
    <w:p>
      <w:pPr>
        <w:numPr>
          <w:ilvl w:val="0"/>
          <w:numId w:val="101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Penalty-граф вместе с OR-Tools: O(N² × M) + O(N² log N), для четырёх кластеров около 40 мс.</w:t>
      </w:r>
    </w:p>
    <w:p>
      <w:pPr>
        <w:numPr>
          <w:ilvl w:val="0"/>
          <w:numId w:val="1015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Replanner NN-TSP при параллельном запуске: O(K × N²), в тестах не превышает 380 мс.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K=4 и N=67 суммарное TTD остаётся не выше 3,8 сек. Более тяжёлые методы, например GA, PSO или GWO, могут дать качество выше 95 % от оптимума, но в этой постановке требуют 30–120 сек. Для режима реального времени это слишком долго. Поэтому в MVP выбран OR-Tools 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PATH_CHEAPEST_ARC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 2-opt: он даёт 85–95 % от оптимума, работает детерминированно по времени и распространяется под лицензией Apache 2.0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36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bookmarkStart w:id="60" w:name="X12d454bff02884f40c2928fee355be2bdaee477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1.4.8 Детализация алгоритма перепланирования</w:t>
      </w:r>
    </w:p>
    <w:bookmarkEnd w:id="60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A (потеря дрона): сначала находятся точки, которые потерянный аппарат уже не успеет обработать. Затем они распределяются между оставшимися дронами пропорционально ресурсу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capacity_d = battery_d × max_speed_d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Для каждого активного дрона берётся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n_take = round(weight_d × len(uncovered))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ближайших точек, после чего порядок обхода пересчитывается через Greedy NN-TSP. Эти пересчёты запускаются параллельно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asyncio.gather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 NN-TSP используется квадрат евклидова расстояния: порядок ближайших точек не меняется, а операция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sqrt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не выполняется, что ускоряет итерации примерно на 30 %.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B (новая зона РЭБ): risk_map обновляется инкрементально только в bbox новой зоны (~200–400 ячеек вместо 3000). Перепланируются только дроны, чьи оставшиеся маршруты пересекают новую зону (в среднем 1–2 из 4). Незатронутые дроны продолжают полёт без изменений. Инкрементальная стратегия снижает TTR в 3–5 раз: измеренное значение 290 мс при требовании ≤ 500 мс.</w:t>
      </w:r>
    </w:p>
    <w:bookmarkStart w:id="61" w:name="X5e62d27b595ed3e3fe37889f5d44a39e1fcd304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1.4.9 Математическое обоснование корректности penalty-системы</w:t>
      </w:r>
    </w:p>
    <w:bookmarkEnd w:id="61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Лемма (корректность penalty-маршрутизации): при penalty = severity × 500 и dist_euclidean ≤ diameter(polygon) ≈ 0,5° ≈ 55 км, для любых двух точек A и B путь «через зону» всегда дороже пути «в обход зоны», если в обход существует хотя бы один альтернативный маршрут.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Обоснование: максимальное евклидово расстояние между двумя точками поля (0,5° × 0,4°) составляет: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sSub>
            <ns2:e>
              <ns2:r>
                <ns2:rPr>
                  <ns2:sty ns2:val="p"/>
                </ns2:rPr>
                <ns2:t>d</ns2:t>
              </ns2:r>
              <ns2:r>
                <ns2:rPr>
                  <ns2:sty ns2:val="p"/>
                </ns2:rPr>
                <ns2:t>i</ns2:t>
              </ns2:r>
              <ns2:r>
                <ns2:rPr>
                  <ns2:sty ns2:val="p"/>
                </ns2:rPr>
                <ns2:t>s</ns2:t>
              </ns2:r>
              <ns2:r>
                <ns2:rPr>
                  <ns2:sty ns2:val="p"/>
                </ns2:rPr>
                <ns2:t>t</ns2:t>
              </ns2:r>
            </ns2:e>
            <ns2:sub>
              <ns2:r>
                <ns2:rPr>
                  <ns2:sty ns2:val="p"/>
                </ns2:rPr>
                <ns2:t>max</ns2:t>
              </ns2:r>
            </ns2:sub>
          </ns2:sSub>
          <ns2:r>
            <ns2:rPr>
              <ns2:sty ns2:val="p"/>
            </ns2:rPr>
            <ns2:t>=</ns2:t>
          </ns2:r>
          <ns2:rad>
            <ns2:radPr>
              <ns2:degHide ns2:val="on"/>
            </ns2:radPr>
            <ns2:deg/>
            <ns2:e>
              <ns2:r>
                <ns2:t>0</ns2:t>
              </ns2:r>
              <ns2:r>
                <ns2:rPr>
                  <ns2:sty ns2:val="p"/>
                </ns2:rPr>
                <ns2:t>,</ns2:t>
              </ns2:r>
              <ns2:sSup>
                <ns2:e>
                  <ns2:r>
                    <ns2:t>5</ns2:t>
                  </ns2:r>
                </ns2:e>
                <ns2:sup>
                  <ns2:r>
                    <ns2:t>2</ns2:t>
                  </ns2:r>
                </ns2:sup>
              </ns2:sSup>
              <ns2:r>
                <ns2:rPr>
                  <ns2:sty ns2:val="p"/>
                </ns2:rPr>
                <ns2:t>+</ns2:t>
              </ns2:r>
              <ns2:r>
                <ns2:t>0</ns2:t>
              </ns2:r>
              <ns2:r>
                <ns2:rPr>
                  <ns2:sty ns2:val="p"/>
                </ns2:rPr>
                <ns2:t>,</ns2:t>
              </ns2:r>
              <ns2:sSup>
                <ns2:e>
                  <ns2:r>
                    <ns2:t>4</ns2:t>
                  </ns2:r>
                </ns2:e>
                <ns2:sup>
                  <ns2:r>
                    <ns2:t>2</ns2:t>
                  </ns2:r>
                </ns2:sup>
              </ns2:sSup>
            </ns2:e>
          </ns2:rad>
          <ns2:r>
            <ns2:rPr>
              <ns2:sty ns2:val="p"/>
            </ns2:rPr>
            <ns2:t>≈</ns2:t>
          </ns2:r>
          <ns2:r>
            <ns2:t>0</ns2:t>
          </ns2:r>
          <ns2:r>
            <ns2:rPr>
              <ns2:sty ns2:val="p"/>
            </ns2:rPr>
            <ns2:t>,</ns2:t>
          </ns2:r>
          <ns2:r>
            <ns2:t>64</ns2:t>
          </ns2:r>
          <ns2:r>
            <ns2:rPr>
              <ns2:sty ns2:val="p"/>
            </ns2:rPr>
            <ns2:t>°</ns2:t>
          </ns2:r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Минимальная penalty за пересечение одной зоны severity=0,1 (наименьший допустимый уровень угрозы) составляет: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sSub>
            <ns2:e>
              <ns2:r>
                <ns2:rPr>
                  <ns2:sty ns2:val="p"/>
                </ns2:rPr>
                <ns2:t>p</ns2:t>
              </ns2:r>
              <ns2:r>
                <ns2:rPr>
                  <ns2:sty ns2:val="p"/>
                </ns2:rPr>
                <ns2:t>e</ns2:t>
              </ns2:r>
              <ns2:r>
                <ns2:rPr>
                  <ns2:sty ns2:val="p"/>
                </ns2:rPr>
                <ns2:t>n</ns2:t>
              </ns2:r>
              <ns2:r>
                <ns2:rPr>
                  <ns2:sty ns2:val="p"/>
                </ns2:rPr>
                <ns2:t>a</ns2:t>
              </ns2:r>
              <ns2:r>
                <ns2:rPr>
                  <ns2:sty ns2:val="p"/>
                </ns2:rPr>
                <ns2:t>l</ns2:t>
              </ns2:r>
              <ns2:r>
                <ns2:rPr>
                  <ns2:sty ns2:val="p"/>
                </ns2:rPr>
                <ns2:t>t</ns2:t>
              </ns2:r>
              <ns2:r>
                <ns2:rPr>
                  <ns2:sty ns2:val="p"/>
                </ns2:rPr>
                <ns2:t>y</ns2:t>
              </ns2:r>
            </ns2:e>
            <ns2:sub>
              <ns2:r>
                <ns2:rPr>
                  <ns2:sty ns2:val="p"/>
                </ns2:rPr>
                <ns2:t>min</ns2:t>
              </ns2:r>
            </ns2:sub>
          </ns2:sSub>
          <ns2:r>
            <ns2:rPr>
              <ns2:sty ns2:val="p"/>
            </ns2:rPr>
            <ns2:t>=</ns2:t>
          </ns2:r>
          <ns2:r>
            <ns2:t>0</ns2:t>
          </ns2:r>
          <ns2:r>
            <ns2:rPr>
              <ns2:sty ns2:val="p"/>
            </ns2:rPr>
            <ns2:t>,</ns2:t>
          </ns2:r>
          <ns2:r>
            <ns2:t>1</ns2:t>
          </ns2:r>
          <ns2:r>
            <ns2:rPr>
              <ns2:sty ns2:val="p"/>
            </ns2:rPr>
            <ns2:t>⋅</ns2:t>
          </ns2:r>
          <ns2:r>
            <ns2:t>500</ns2:t>
          </ns2:r>
          <ns2:r>
            <ns2:rPr>
              <ns2:sty ns2:val="p"/>
            </ns2:rPr>
            <ns2:t>=</ns2:t>
          </ns2:r>
          <ns2:r>
            <ns2:t>50</ns2:t>
          </ns2:r>
          <ns2:r>
            <ns2:rPr>
              <ns2:sty ns2:val="p"/>
            </ns2:rPr>
            <ns2:t>°</ns2:t>
          </ns2:r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(в единицах расстояния алгоритма)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Поскольку penalty_min = 50° &gt;&gt; dist_max = 0,64°, алгоритм всегда выберет самый длинный путь в обход зоны, лишь бы избежать пересечения, если любой обходной маршрут существует. Число 500 выбрано с двукратным запасом: достаточно значения 100 (≫ 0,64°), 500 выбрано для устойчивости при появлении нескольких зон с суммарным diameter полигонов.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Следствие: penalty-система не запрещает маршрут через зону (граф не обрывается — алгоритм всегда завершается), но делает его математически невыгодным. Это важно для обеспечения робастности при нестандартных конфигурациях (весь периметр поля — зона РЭБ): в таком случае дроны «выбирают» наименее опасный путь через зону, а не отказывают с ошибкой.</w:t>
      </w:r>
    </w:p>
    <w:bookmarkStart w:id="62" w:name="Xb8cf5e1ec0fedf61a206bd2a5c4ea03fd622f01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1.4.10 Интеграция с ArduPilot SITL и ограничения алгоритма</w:t>
      </w:r>
    </w:p>
    <w:bookmarkEnd w:id="62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Интеграция с SITL. Каждый из 4 инстансов ArduPilot SITL эмулирует полноценный автопилот ArduCopter (TCP-порты 14550–14553). Цикл миссии: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connect_all()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MISSION_CLEAR_ALL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MISSION_ITEM_INT × 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CMD_MISSION_START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далее чтение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GLOBAL_POSITION_INT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BATTERY_STATUS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HEARTBEAT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при timeout &gt; 5 с: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status = LOST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Все blocking-вызовы pymavlink выполняются 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asyncio.run_in_executor(None, ...)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чтобы не блокировать event loop FastAPI. При пустом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SITL_HOSTS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simulation_mode=True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позиции интерполируются по waypoints.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Ограничения текущей реализации: - Евклидово расстояние вместо Haversine: погрешность &lt; 0,1 % для полей ≤ 10 км, приемлемо для MVP. - Replanner использует жадный NN-TSP (маршруты длиннее оптимальных на 10–15 %) ради TTR ≤ 500 мс. - Risk_map двумерная: высота фиксирована на 30 м AGL, рельеф не учитывается. - Масштабирование: при K &gt; 8 потребуется переход к приближённым Voronoi (k-d tree) и OR-Tools Time Limit.</w:t>
      </w:r>
    </w:p>
    <w:bookmarkStart w:id="63" w:name="X7648f1176cc79e71597a18c231cc53eda459c19"/>
    <w:p>
      <w:pPr>
        <w:pStyle w:val="Heading2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1.5 Экспериментальная оценка эффективности</w:t>
      </w:r>
    </w:p>
    <w:bookmarkEnd w:id="63"/>
    <w:bookmarkStart w:id="64" w:name="Xac4178d0ba821f9a7158d4e93a6734f0d79c994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1.5.1 Методика эксперимента и метрики</w:t>
      </w:r>
    </w:p>
    <w:bookmarkEnd w:id="64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оценки эффективности предлагаемого подхода разработан автономный симуляционный модуль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backend/simulation/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включающий компоненты: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baseline.py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(наивная стратегия «змейка»),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runner.py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(управляющий трёмя сценариями),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scene.py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(генерация сцены),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metrics.py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(вычисление метрик),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visualizer.py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(генерация графиков matplotlib 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simulation/results/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Базовая линия (baseline): маршрутизация «змейкой» — последовательный обход точек поля по строкам сетки без учёта зон РЭБ и без разделения задачи между дронами. Каждый дрон обслуживает равную долю строк.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Предлагаемый подход (SafeAgriRoute, SAR): Risk-Weighted Voronoi + OR-Tools CVRP + penalty-граф.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Метрики сравнения: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1.9 — Метрики экспериментальной оценки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Метрика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Обозначение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Формула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Единица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Покрытие маршрута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Coverage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Доля ячеек поля, центр которых в радиусе δ от полилинии маршрута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%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Индекс надёжности миссии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IRM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1 − mean(R(wp))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[0,1]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Суммарная длина маршрутов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TotalDist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Σ dist(маршрут дрона)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° (координатных)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Время планирования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TTD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Время от запроса до готовности маршрутов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сек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Время перепланирования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TTR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Время от триггера до готовности нов. маршрутов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мс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Доля точек в зонах РЭБ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FPR (False Pass Rate)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Число wp ∈ RiskZone / всего wp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%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Покрытие после потери дрона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PostLossCoverage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Coverage после replanner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%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Сценарии эксперимента:</w:t>
      </w:r>
    </w:p>
    <w:p>
      <w:pPr>
        <w:numPr>
          <w:ilvl w:val="0"/>
          <w:numId w:val="101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1 (штатный): поле 0,5° × 0,4° (~500 га), 4 дрона, без зон РЭБ. Цель: сравнить покрытие и суммарную длину маршрутов.</w:t>
      </w:r>
    </w:p>
    <w:p>
      <w:pPr>
        <w:numPr>
          <w:ilvl w:val="0"/>
          <w:numId w:val="101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2 (статичные угрозы): то же поле, 2 зоны РЭБ (severity 0,6 и 0,9). Цель: оценить, как SAR обходит зоны, а baseline проходит сквозь них.</w:t>
      </w:r>
    </w:p>
    <w:p>
      <w:pPr>
        <w:numPr>
          <w:ilvl w:val="0"/>
          <w:numId w:val="1016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3 (динамическая угроза + потеря дрона): то же поле, на 30-й секунде — потеря дрона № 2, на 60-й — новая зона РЭБ. Цель: оценить время и качество перепланирования.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покрытия используется параметр δ = 0,00015° (~16 м), соответствующий половине захвата типичного опрыскивателя ёмкостью 10 л (ширина полосы ~30 м). Все эксперименты воспроизводимы; исходный код и инструкции запуска доступны в репозитории: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hyperlink r:id="rId21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</w:rPr>
          <w:t xml:space="preserve">https://github.com/matveisut/safe-agri-route</w:t>
        </w:r>
      </w:hyperlink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Параметры тестового стенда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ОС: Значение: Windows 11 Pro 22H2 + Docker Desktop 4.28 (WSL2-бэкенд).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CPU: Значение: AMD Ryzen 7 5800H (8 ядер, 3,2–4,4 ГГц).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RAM: Значение: 16 ГБ DDR4-3200.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Python: Значение: 3.11.8.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OR-Tools: Значение: 9.8.3296.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ArduPilot SITL: Значение: ArduCopter 4.5.3.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PostgreSQL: Значение: 15.4 + PostGIS 3.3.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Число SITL-инстансов: Значение: 4 (TCP 14550–14553).</w:t>
      </w:r>
    </w:p>
    <w:p>
      <w:pPr>
        <w:numPr>
          <w:ilvl w:val="0"/>
          <w:numId w:val="1017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Seed ГСЧ: Значение: random.seed(42), numpy.random.seed(42).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Формула метрики Coverage:</w:t>
      </w:r>
    </w:p>
    <w:p>
      <w:pPr>
        <w:pStyle w:val="BodyText"/>
        <w:ind/>
        <w:spacing w:line="360" w:lineRule="auto" w:before="0" w:after="0"/>
        <w:jc w:val="both"/>
      </w:pPr>
      <ns2:oMathPara>
        <ns2:oMathParaPr>
          <ns2:jc ns2:val="center"/>
        </ns2:oMathParaPr>
        <ns2:oMath>
          <ns2:r>
            <ns2:rPr>
              <ns2:sty ns2:val="p"/>
            </ns2:rPr>
            <ns2:t>C</ns2:t>
          </ns2:r>
          <ns2:r>
            <ns2:rPr>
              <ns2:sty ns2:val="p"/>
            </ns2:rPr>
            <ns2:t>o</ns2:t>
          </ns2:r>
          <ns2:r>
            <ns2:rPr>
              <ns2:sty ns2:val="p"/>
            </ns2:rPr>
            <ns2:t>v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r</ns2:t>
          </ns2:r>
          <ns2:r>
            <ns2:rPr>
              <ns2:sty ns2:val="p"/>
            </ns2:rPr>
            <ns2:t>a</ns2:t>
          </ns2:r>
          <ns2:r>
            <ns2:rPr>
              <ns2:sty ns2:val="p"/>
            </ns2:rPr>
            <ns2:t>g</ns2:t>
          </ns2:r>
          <ns2:r>
            <ns2:rPr>
              <ns2:sty ns2:val="p"/>
            </ns2:rPr>
            <ns2:t>e</ns2:t>
          </ns2:r>
          <ns2:r>
            <ns2:rPr>
              <ns2:sty ns2:val="p"/>
            </ns2:rPr>
            <ns2:t>=</ns2:t>
          </ns2:r>
          <ns2:f>
            <ns2:fPr>
              <ns2:type ns2:val="bar"/>
            </ns2:fPr>
            <ns2:num>
              <ns2:r>
                <ns2:rPr>
                  <ns2:sty ns2:val="p"/>
                </ns2:rPr>
                <ns2:t>|</ns2:t>
              </ns2:r>
              <ns2:r>
                <ns2:rPr>
                  <ns2:sty ns2:val="p"/>
                </ns2:rPr>
                <ns2:t>{</ns2:t>
              </ns2:r>
              <ns2:r>
                <ns2:t>c</ns2:t>
              </ns2:r>
              <ns2:r>
                <ns2:rPr>
                  <ns2:sty ns2:val="p"/>
                </ns2:rPr>
                <ns2:t>∈</ns2:t>
              </ns2:r>
              <ns2:r>
                <ns2:t>G</ns2:t>
              </ns2:r>
              <ns2:r>
                <ns2:rPr>
                  <ns2:sty ns2:val="p"/>
                </ns2:rPr>
                <ns2:t>:</ns2:t>
              </ns2:r>
              <ns2:limLow>
                <ns2:e>
                  <ns2:r>
                    <ns2:rPr>
                      <ns2:sty ns2:val="p"/>
                    </ns2:rPr>
                    <ns2:t>min</ns2:t>
                  </ns2:r>
                </ns2:e>
                <ns2:lim>
                  <ns2:r>
                    <ns2:t>s</ns2:t>
                  </ns2:r>
                  <ns2:r>
                    <ns2:rPr>
                      <ns2:sty ns2:val="p"/>
                    </ns2:rPr>
                    <ns2:t>∈</ns2:t>
                  </ns2:r>
                  <ns2:r>
                    <ns2:rPr>
                      <ns2:sty ns2:val="p"/>
                    </ns2:rPr>
                    <ns2:t>r</ns2:t>
                  </ns2:r>
                  <ns2:r>
                    <ns2:rPr>
                      <ns2:sty ns2:val="p"/>
                    </ns2:rPr>
                    <ns2:t>o</ns2:t>
                  </ns2:r>
                  <ns2:r>
                    <ns2:rPr>
                      <ns2:sty ns2:val="p"/>
                    </ns2:rPr>
                    <ns2:t>u</ns2:t>
                  </ns2:r>
                  <ns2:r>
                    <ns2:rPr>
                      <ns2:sty ns2:val="p"/>
                    </ns2:rPr>
                    <ns2:t>t</ns2:t>
                  </ns2:r>
                  <ns2:r>
                    <ns2:rPr>
                      <ns2:sty ns2:val="p"/>
                    </ns2:rPr>
                    <ns2:t>e</ns2:t>
                  </ns2:r>
                </ns2:lim>
              </ns2:limLow>
              <ns2:r>
                <ns2:rPr>
                  <ns2:sty ns2:val="p"/>
                </ns2:rPr>
                <ns2:t>d</ns2:t>
              </ns2:r>
              <ns2:r>
                <ns2:rPr>
                  <ns2:sty ns2:val="p"/>
                </ns2:rPr>
                <ns2:t>i</ns2:t>
              </ns2:r>
              <ns2:r>
                <ns2:rPr>
                  <ns2:sty ns2:val="p"/>
                </ns2:rPr>
                <ns2:t>s</ns2:t>
              </ns2:r>
              <ns2:r>
                <ns2:rPr>
                  <ns2:sty ns2:val="p"/>
                </ns2:rPr>
                <ns2:t>t</ns2:t>
              </ns2:r>
              <ns2:d>
                <ns2:dPr>
                  <ns2:begChr ns2:val="("/>
                  <ns2:endChr ns2:val=")"/>
                  <ns2:sepChr ns2:val=""/>
                  <ns2:grow/>
                </ns2:dPr>
                <ns2:e>
                  <ns2:r>
                    <ns2:t>c</ns2:t>
                  </ns2:r>
                  <ns2:r>
                    <ns2:rPr>
                      <ns2:sty ns2:val="p"/>
                    </ns2:rPr>
                    <ns2:t>,</ns2:t>
                  </ns2:r>
                  <ns2:r>
                    <ns2:t> </ns2:t>
                  </ns2:r>
                  <ns2:r>
                    <ns2:t>s</ns2:t>
                  </ns2:r>
                </ns2:e>
              </ns2:d>
              <ns2:r>
                <ns2:rPr>
                  <ns2:sty ns2:val="p"/>
                </ns2:rPr>
                <ns2:t>≤</ns2:t>
              </ns2:r>
              <ns2:r>
                <ns2:t>δ</ns2:t>
              </ns2:r>
              <ns2:r>
                <ns2:rPr>
                  <ns2:sty ns2:val="p"/>
                </ns2:rPr>
                <ns2:t>}</ns2:t>
              </ns2:r>
              <ns2:r>
                <ns2:rPr>
                  <ns2:sty ns2:val="p"/>
                </ns2:rPr>
                <ns2:t>|</ns2:t>
              </ns2:r>
            </ns2:num>
            <ns2:den>
              <ns2:d>
                <ns2:dPr>
                  <ns2:begChr ns2:val="|"/>
                  <ns2:endChr ns2:val="|"/>
                  <ns2:sepChr ns2:val=""/>
                  <ns2:grow/>
                </ns2:dPr>
                <ns2:e>
                  <ns2:r>
                    <ns2:t>G</ns2:t>
                  </ns2:r>
                </ns2:e>
              </ns2:d>
            </ns2:den>
          </ns2:f>
        </ns2:oMath>
      </ns2:oMathPara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Здесь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ns2:oMath>
        <ns2:r>
          <ns2:t>G</ns2:t>
        </ns2:r>
      </ns2:oMath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обозначает центры ячеек дискретной сетки поля, 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ns2:oMath>
        <ns2:r>
          <ns2:rPr>
            <ns2:sty ns2:val="p"/>
          </ns2:rPr>
          <ns2:t>r</ns2:t>
        </ns2:r>
        <ns2:r>
          <ns2:rPr>
            <ns2:sty ns2:val="p"/>
          </ns2:rPr>
          <ns2:t>o</ns2:t>
        </ns2:r>
        <ns2:r>
          <ns2:rPr>
            <ns2:sty ns2:val="p"/>
          </ns2:rPr>
          <ns2:t>u</ns2:t>
        </ns2:r>
        <ns2:r>
          <ns2:rPr>
            <ns2:sty ns2:val="p"/>
          </ns2:rPr>
          <ns2:t>t</ns2:t>
        </ns2:r>
        <ns2:r>
          <ns2:rPr>
            <ns2:sty ns2:val="p"/>
          </ns2:rPr>
          <ns2:t>e</ns2:t>
        </ns2:r>
      </ns2:oMath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— объединение всех сегментов маршрутов группы дронов. Порог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ns2:oMath>
        <ns2:r>
          <ns2:t>δ</ns2:t>
        </ns2:r>
        <ns2:r>
          <ns2:rPr>
            <ns2:sty ns2:val="p"/>
          </ns2:rPr>
          <ns2:t>=</ns2:t>
        </ns2:r>
        <ns2:r>
          <ns2:t>0</ns2:t>
        </ns2:r>
        <ns2:r>
          <ns2:rPr>
            <ns2:sty ns2:val="p"/>
          </ns2:rPr>
          <ns2:t>,</ns2:t>
        </ns2:r>
        <ns2:r>
          <ns2:t>00015</ns2:t>
        </ns2:r>
        <ns2:r>
          <ns2:rPr>
            <ns2:sty ns2:val="p"/>
          </ns2:rPr>
          <ns2:t>°</ns2:t>
        </ns2:r>
      </ns2:oMath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(примерно 16 м) соответствует половине рабочей ширины опрыскивания. Иными словами, ячейка считается покрытой, если её центр находится достаточно близко к одному из сегментов маршрута. Значение Coverage = 1,0 означает полное покрытие поля.</w:t>
      </w:r>
    </w:p>
    <w:bookmarkStart w:id="65" w:name="Xc7ff12c0b7683f8e8e91fda5095e7cef5dabc26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1.5.2 Сценарии и результаты</w:t>
      </w:r>
    </w:p>
    <w:bookmarkEnd w:id="65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1 — штатное планирование (без угроз)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Без зон РЭБ оба подхода закрывают поле одинаково хорошо. Разница проявляется не в Coverage, а в распределении нагрузки: SAR делит точки между дронами ровнее за счёт Risk-Weighted Voronoi. При отсутствии угроз (R близко к нулю) веса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ns2:oMath>
        <ns2:r>
          <ns2:t>w</ns2:t>
        </ns2:r>
        <ns2:r>
          <ns2:rPr>
            <ns2:sty ns2:val="p"/>
          </ns2:rPr>
          <ns2:t>=</ns2:t>
        </ns2:r>
        <ns2:r>
          <ns2:t>1</ns2:t>
        </ns2:r>
        <ns2:r>
          <ns2:rPr>
            <ns2:sty ns2:val="p"/>
          </ns2:rPr>
          <ns2:t>/</ns2:t>
        </ns2:r>
        <ns2:d>
          <ns2:dPr>
            <ns2:begChr ns2:val="("/>
            <ns2:endChr ns2:val=")"/>
            <ns2:sepChr ns2:val=""/>
            <ns2:grow/>
          </ns2:dPr>
          <ns2:e>
            <ns2:r>
              <ns2:t>1</ns2:t>
            </ns2:r>
            <ns2:r>
              <ns2:rPr>
                <ns2:sty ns2:val="p"/>
              </ns2:rPr>
              <ns2:t>−</ns2:t>
            </ns2:r>
            <ns2:r>
              <ns2:t>R</ns2:t>
            </ns2:r>
            <ns2:r>
              <ns2:rPr>
                <ns2:sty ns2:val="p"/>
              </ns2:rPr>
              <ns2:t>+</ns2:t>
            </ns2:r>
            <ns2:r>
              <ns2:t>ε</ns2:t>
            </ns2:r>
          </ns2:e>
        </ns2:d>
      </ns2:oMath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близки к единице, поэтому алгоритм фактически работает как балансировщик покрытия.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1.10 — Результаты Сценария 1: штатное планирование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Метрика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Baseline (змейка)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SAR (предлагаемый)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Δ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Coverage,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100,0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100,0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0,0 %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IRM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1,00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1,00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0,00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Total time, сек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1510,4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1582,0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+71,6 сек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Waypoints (abs.)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940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786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−154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FPR,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Дисбаланс нагрузки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28 %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−19 %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первом сценарии оба маршрутизатора дают полное покрытие. При этом SAR использует меньше waypoint-ов (786 против 940) и сохраняет нулевой FPR. Baseline быстрее по суммарному времени прохода, но распределяет работу заметно хуже. SAR учитывает ресурс дронов через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battery_capacity × max_speed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 снижает дисбаланс нагрузки до 9 %.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2 — статичные угрозы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 наличии двух зон РЭБ базовый алгоритм «змейка» проходит через обе зоны, тогда как SAR полностью исключает их из маршрутов и прокладывает пути в обход через penalty-граф.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1.11 — Результаты Сценария 2: статичные зоны РЭБ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Метрика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Baseline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SAR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Δ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Coverage безопасных зон,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21,9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91,8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+69,9 %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Маршрутов через jammer (abs.)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2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−2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IRM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0,756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0,780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+0,024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Estimated coverage,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95,0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</w:tr>
      <w:t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FPR (пролётов через jammer), 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50,0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0,0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−50,0 п.п.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пересчитанном прогоне baseline теряет покрытие до 21,9 % и имеет 2 маршрута, пересекающих jammer-зоны (эквивалентно 50 % маршрутов). SAR сохраняет 91,8 % покрытия, не имеет пересечений jammer и остаётся в безопасном контуре (FPR = 0 %). IRM SAR выше baseline (0,780 против 0,756), что подтверждает преимущество риск-ориентированного планирования.</w:t>
      </w:r>
    </w:p>
    <w:p>
      <w:pPr>
        <w:pStyle w:val="CaptionedFigure"/>
        <w:ind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drawing>
          <ns3:inline>
            <ns3:extent cx="4907280" cy="3271520"/>
            <ns3:effectExtent b="0" l="0" r="0" t="0"/>
            <ns3:docPr descr="" title="" id="67" name="Picture"/>
            <ns4:graphic>
              <ns4:graphicData uri="http://schemas.openxmlformats.org/drawingml/2006/picture">
                <ns5:pic>
                  <ns5:nvPicPr>
                    <ns5:cNvPr descr="../../../backend/simulation/results/heatmap_scenario2.png" id="68" name="Picture"/>
                    <ns5:cNvPicPr>
                      <ns4:picLocks noChangeArrowheads="1" noChangeAspect="1"/>
                    </ns5:cNvPicPr>
                  </ns5:nvPicPr>
                  <ns5:blipFill>
                    <ns4:blip r:embed="rId66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4907280" cy="327152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  <w:ind w:firstLine="0" w:left="0"/>
        <w:jc w:val="center"/>
        <w:spacing w:line="360" w:lineRule="auto" w:before="0" w:after="0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Рисунок 1 — Тепловая карта риска для сценария со статичными зонами радиоэлектронного подавления</w:t>
      </w:r>
    </w:p>
    <w:p>
      <w:pPr>
        <w:pStyle w:val="CaptionedFigure"/>
        <w:ind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drawing>
          <ns3:inline>
            <ns3:extent cx="5227320" cy="3484880"/>
            <ns3:effectExtent b="0" l="0" r="0" t="0"/>
            <ns3:docPr descr="" title="" id="70" name="Picture"/>
            <ns4:graphic>
              <ns4:graphicData uri="http://schemas.openxmlformats.org/drawingml/2006/picture">
                <ns5:pic>
                  <ns5:nvPicPr>
                    <ns5:cNvPr descr="../../../backend/simulation/results/routes_comparison_scenario2.png" id="71" name="Picture"/>
                    <ns5:cNvPicPr>
                      <ns4:picLocks noChangeArrowheads="1" noChangeAspect="1"/>
                    </ns5:cNvPicPr>
                  </ns5:nvPicPr>
                  <ns5:blipFill>
                    <ns4:blip r:embed="rId69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227320" cy="348488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  <w:ind w:firstLine="0" w:left="0"/>
        <w:jc w:val="center"/>
        <w:spacing w:line="360" w:lineRule="auto" w:before="0" w:after="0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Рисунок 2 — Сравнение маршрутов baseline и SafeAgriRoute в сценарии со статичными угрозами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Сценарий 3 — динамическая угроза и потеря дрона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Самый жёсткий сценарий для системы совмещает два события. На 30-й секунде моделируется потеря дрона № 2 (кнопка «Simulate Loss» в интерфейсе или вызов API), а на 60-й секунде появляется новая зона РЭБ с severity = 0,8.</w:t>
      </w:r>
    </w:p>
    <w:p>
      <w:pPr>
        <w:pStyle w:val="BodyText"/>
        <w:ind w:firstLine="0" w:left="0"/>
        <w:spacing w:line="360" w:lineRule="auto" w:before="240" w:after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Таблица 1.12 — Результаты Сценария 3: динамическая угроза</w:t>
      </w: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Событие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Время реакции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Coverage до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Coverage после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ΔIRM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Зона РЭБ появляется (прогресс 40 %)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н/д (timeline)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68,5 % (25 %)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83,5 % (50 %)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+15,0 п.п.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Потеря дрона № 2 (прогресс 60 %)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≤ 500 мс (требование)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83,5 % (50 %)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95,1 % (75 %)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+11,6 п.п.</w:t>
            </w:r>
          </w:p>
        </w:tc>
      </w:tr>
      <w:tr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Финал миссии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-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91,3 % (baseline)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100,0 % (SAR)</w:t>
            </w:r>
          </w:p>
        </w:tc>
        <w:tc>
          <w:tcPr>
            <w:tcW w:w="19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before="0" w:after="0"/>
              <w:ind w:firstLine="0" w:left="0"/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color w:val="000000"/>
              </w:rPr>
              <w:t w:space="preserve">+8,7 п.п.</w:t>
            </w:r>
          </w:p>
        </w:tc>
      </w:tr>
    </w:tbl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Таймлайн сценария 3 после пересчёта показывает, что SAR восстанавливает покрытие до 100 % к финалу миссии, тогда как baseline выходит на плато 91,3 %. Это подтверждает устойчивость controlled replan к комбинированному событию «новая зона + потеря дрона».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baseline отдельный эксперимент с потерей дрона не предусмотрен, так как алгоритм «змейка» не поддерживает динамическое перераспределение нагрузки — оператор вынужден вручную перепланировать маршруты, что на практике занимает 5–15 минут.</w:t>
      </w:r>
    </w:p>
    <w:p>
      <w:pPr>
        <w:pStyle w:val="CaptionedFigure"/>
        <w:ind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drawing>
          <ns3:inline>
            <ns3:extent cx="4907280" cy="3271520"/>
            <ns3:effectExtent b="0" l="0" r="0" t="0"/>
            <ns3:docPr descr="" title="" id="73" name="Picture"/>
            <ns4:graphic>
              <ns4:graphicData uri="http://schemas.openxmlformats.org/drawingml/2006/picture">
                <ns5:pic>
                  <ns5:nvPicPr>
                    <ns5:cNvPr descr="../../../backend/simulation/results/coverage_timeline_scenario3.png" id="74" name="Picture"/>
                    <ns5:cNvPicPr>
                      <ns4:picLocks noChangeArrowheads="1" noChangeAspect="1"/>
                    </ns5:cNvPicPr>
                  </ns5:nvPicPr>
                  <ns5:blipFill>
                    <ns4:blip r:embed="rId72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4907280" cy="327152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  <w:ind w:firstLine="0" w:left="0"/>
        <w:jc w:val="center"/>
        <w:spacing w:line="360" w:lineRule="auto" w:before="0" w:after="0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Рисунок 3 — Динамика покрытия поля при появлении новой угрозы и потере БПЛА</w:t>
      </w:r>
    </w:p>
    <w:bookmarkStart w:id="75" w:name="Xe2879f722f9628ecb82a2cee45c1e8a682a40f7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1.5.3 Анализ результатов и ограничения</w:t>
      </w:r>
    </w:p>
    <w:bookmarkEnd w:id="75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 результатам трёх сценариев можно выделить несколько устойчивых наблюдений:</w:t>
      </w:r>
    </w:p>
    <w:p>
      <w:pPr>
        <w:numPr>
          <w:ilvl w:val="0"/>
          <w:numId w:val="101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SAR сохраняет нулевой FPR по пересечениям jammer — ни один маршрут не проходит через зоны РЭБ при корректно заданных полигонах угроз.</w:t>
      </w:r>
    </w:p>
    <w:p>
      <w:pPr>
        <w:numPr>
          <w:ilvl w:val="0"/>
          <w:numId w:val="101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SAR обеспечивает на 69,9 п.п. большее эффективное покрытие в условиях статичных угроз (сценарий 2): 91,8 % против 21,9 % у baseline.</w:t>
      </w:r>
    </w:p>
    <w:p>
      <w:pPr>
        <w:numPr>
          <w:ilvl w:val="0"/>
          <w:numId w:val="101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Replanner обеспечивает полное восстановление покрытия в динамическом сценарии: к 100 % прогресса миссии SAR достигает 100 %, baseline — 91,3 %.</w:t>
      </w:r>
    </w:p>
    <w:p>
      <w:pPr>
        <w:numPr>
          <w:ilvl w:val="0"/>
          <w:numId w:val="1018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Равномерность нагрузки в SAR (дисбаланс 9 % против 28 % у baseline) увеличивает реальное время работы всей группы дронов до исчерпания батарей наиболее нагруженного аппарата приблизительно на 19 %.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Ограничения достоверности и воспроизводимости:</w:t>
      </w:r>
    </w:p>
    <w:p>
      <w:pPr>
        <w:numPr>
          <w:ilvl w:val="0"/>
          <w:numId w:val="101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Эксперименты проводились в ArduPilot SITL и автономных Python-скриптах, а не на реальных аппаратах. Поэтому в результатах не отражены ветер, реальные задержки TCP-соединений и особенности распространения радиосигнала на конкретной местности.</w:t>
      </w:r>
    </w:p>
    <w:p>
      <w:pPr>
        <w:numPr>
          <w:ilvl w:val="0"/>
          <w:numId w:val="101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Поле размером 0,5° × 0,4° (~500 га) является модельным. На L-образных участках, полях с внутренними вырезами или зонами под ЛЭП качество RWVD-разбиения может быть другим, поэтому такие случаи нужно проверять отдельно.</w:t>
      </w:r>
    </w:p>
    <w:p>
      <w:pPr>
        <w:numPr>
          <w:ilvl w:val="0"/>
          <w:numId w:val="101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replanner используется жадный NN-TSP, а не OR-Tools, чтобы уложиться в требование ≤ 500 мс. При k = 4 и n = 200 точках на дрон такой маршрут получается примерно на 10–15 % длиннее оптимального по OR-Tools. Для аварийного перепланирования это приемлемый обмен качества на скорость.</w:t>
      </w:r>
    </w:p>
    <w:p>
      <w:pPr>
        <w:numPr>
          <w:ilvl w:val="0"/>
          <w:numId w:val="1019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Евклидово расстояние вместо Haversine вносит ошибку &lt; 0,1 % для полей шириной ≤ 10 км, что приемлемо для MVP-масштаба.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Чек-лист воспроизводимости экспериментов:</w:t>
      </w:r>
    </w:p>
    <w:p>
      <w:pPr>
        <w:numPr>
          <w:ilvl w:val="0"/>
          <w:numId w:val="102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Запуск сервисов (postgres, backend, frontend) командой из репозитория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hyperlink r:id="rId21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</w:rPr>
          <w:t xml:space="preserve">https://github.com/matveisut/safe-agri-route</w:t>
        </w:r>
      </w:hyperlink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numPr>
          <w:ilvl w:val="0"/>
          <w:numId w:val="102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Запуск трёх сценариев через скрипт симуляции (≈ 30–60 сек); результаты сохраняются в каталог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simulation/results/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numPr>
          <w:ilvl w:val="0"/>
          <w:numId w:val="1020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демо с ArduPilот SITL: 4 инстанса ArduCopter запускаются согласно инструкции в репозитории.</w:t>
      </w:r>
    </w:p>
    <w:p>
      <w:pPr>
        <w:pStyle w:val="CaptionedFigure"/>
        <w:ind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drawing>
          <ns3:inline>
            <ns3:extent cx="4587240" cy="3058160"/>
            <ns3:effectExtent b="0" l="0" r="0" t="0"/>
            <ns3:docPr descr="" title="" id="77" name="Picture"/>
            <ns4:graphic>
              <ns4:graphicData uri="http://schemas.openxmlformats.org/drawingml/2006/picture">
                <ns5:pic>
                  <ns5:nvPicPr>
                    <ns5:cNvPr descr="../../../backend/simulation/results/radar_baseline_vs_target.png" id="78" name="Picture"/>
                    <ns5:cNvPicPr>
                      <ns4:picLocks noChangeArrowheads="1" noChangeAspect="1"/>
                    </ns5:cNvPicPr>
                  </ns5:nvPicPr>
                  <ns5:blipFill>
                    <ns4:blip r:embed="rId76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4587240" cy="3058160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  <w:ind w:firstLine="0" w:left="0"/>
        <w:jc w:val="center"/>
        <w:spacing w:line="360" w:lineRule="auto" w:before="0" w:after="0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Рисунок 4 — Сводное сравнение baseline и SafeAgriRoute по ключевым метрикам эксперимента</w:t>
      </w:r>
    </w:p>
    <w:bookmarkStart w:id="79" w:name="X676efd9d465726a0c7c7eadbdb4c2a53aef4adf"/>
    <w:p>
      <w:pPr>
        <w:pStyle w:val="Heading3"/>
        <w:ind w:left="0" w:firstLine="709"/>
        <w:jc w:val="left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1.5.4 Сравнение с литературой, тестирование и анализ чувствительности</w:t>
      </w:r>
    </w:p>
    <w:bookmarkEnd w:id="79"/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Сравнение с литературой. Galceran и Carreras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38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приводят для решёточных подходов типичный диапазон покрытия 92–96 %. В сценариях без критической потери ресурса SAR попадает в этот диапазон, а в статичном угрозовом сценарии сохраняет 91,8 %. Для наивных стратегий дисбаланс нагрузки обычно находится на уровне 20–35 %, для балансировочных — 5–15 %; полученные 9 % хорошо согласуются с этой оценкой. По данным Jeong et al.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21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, TTR детектора атак составляет 100–250 мс. В нашем случае связка «обнаружение + перепланирование» остаётся в субсекундном или секундном диапазоне, что приемлемо при скорости БПЛА 8–10 м/с.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Автоматическое тестирование. Для backend подготовлено 47 pytest-тестов, покрывающих модули threat_fusion (94 %), telemetry_features (91 %), mission_fusion_runtime (88 %) и mavlink_service (76 %). Все тесты успешно проходят; их код размещён в репозитории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hyperlink r:id="rId21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</w:rPr>
          <w:t xml:space="preserve">https://github.com/matveisut/safe-agri-route</w:t>
        </w:r>
      </w:hyperlink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Анализ чувствительности показывает, где у алгоритма начинается деградация:</w:t>
      </w:r>
    </w:p>
    <w:p>
      <w:pPr>
        <w:numPr>
          <w:ilvl w:val="0"/>
          <w:numId w:val="102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grid_step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 рекомендуемое значение 0,0002°. При шаге меньше 0,0001° TTD выходит за 5 сек.</w:t>
      </w:r>
    </w:p>
    <w:p>
      <w:pPr>
        <w:numPr>
          <w:ilvl w:val="0"/>
          <w:numId w:val="102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penalty_factor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 рекомендуемое значение 500. При значении ниже 100 появляются пролёты через зоны РЭБ.</w:t>
      </w:r>
    </w:p>
    <w:p>
      <w:pPr>
        <w:numPr>
          <w:ilvl w:val="0"/>
          <w:numId w:val="102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max_iter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для Voronoi: рекомендуемое значение 50. Если снизить его ниже 15, дисбаланс нагрузки растёт примерно до 18 % вместо 9 %.</w:t>
      </w:r>
    </w:p>
    <w:p>
      <w:pPr>
        <w:numPr>
          <w:ilvl w:val="0"/>
          <w:numId w:val="102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severity_threshold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 рекомендуемое значение 1,0. При большем пороге точки внутри jammer-зоны перестают исключаться.</w:t>
      </w:r>
    </w:p>
    <w:p>
      <w:pPr>
        <w:numPr>
          <w:ilvl w:val="0"/>
          <w:numId w:val="1021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fusion.threshold_alarm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: рекомендуемое значение 0,7. При пороге выше 0,9 возрастает риск пропуска инцидентов.</w:t>
      </w:r>
    </w:p>
    <w:bookmarkEnd w:id="80"/>
    <w:bookmarkStart w:id="81" w:name="X956161a603e26a815fdcc4137442895f72d9488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ЗАКЛЮЧЕНИЕ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 настоящей выпускной квалификационной работе студента решена актуальная научно-практическая задача — разработана программная платформа автоматизированного планирования безопасных маршрутов для группы сельскохозяйственных БПЛА с учётом зон радиоэлектронного подавления и динамической угрозовой обстановки.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По результатам выполнения поставленных задач достигнуто следующее: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Анализ рынка и подтверждение спроса. Проведён анализ мирового и российского рынка агро-БПЛА: мировой рынок прогнозируется к росту с 2,63 млрд долл. (2025 г.) до 10,76 млрд долл. (2030 г.) при CAGR 32,6 %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4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Российский SAM оценивается в ~400 млн руб./год (ЮФО + СКФО). Проведено 7 интервью с представителями ЦА: 86 % респондентов назвали отсутствие автоматического перепланирования критическим недостатком; 100 % сталкивались с потерями GPS-сигнала. Рассчитанный ROI для типового клиента (8 000 га, 4 дрона) составил ~950 % за первый год эксплуатации при стоимости подписки 216 тыс. руб./год.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Конкурентный анализ. Выявлен технологический «gap»: ни одна из рассмотренных платформ (DJI FlightHub 2, DroneDeploy, Pix4Dfields) не реализует risk-aware маршрутизацию с учётом зон РЭБ, автоматическое перепланирование и соответствие российской нормативной базе ИБ. SWOT-анализ подтвердил устойчивость ключевых конкурентных преимуществ в краткосрочной перспективе.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Модель угроз. Классифицированы нарушители (Н1–Н5) и систематизированы 12 угроз с привязкой к реестру БДУ ФСТЭК России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12, 43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 MITRE ATT&amp;CK for ICS. Идентифицированы два вектора критической уязвимости: глушение ГНСС (УБИ.131) и перехват MAVLink (УБИ.014). После внедрения контрмер уровень риска снижен по 7 из 12 угроз; остаточные риски задокументированы в реестре и включены в план разработки v2.0.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Метрика риска. Формализована метрика деструктивного воздействия R(x,y) с линейной и бинарной моделями затухания. Разработан интегральный критерий надёжности миссии IRM ∈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0, 1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с доказанными свойствами нормированности, монотонности и аддитивности. Математически обоснована корректность penalty-системы (Лемма 1): при penalty_coeff = 500 алгоритм гарантированно избегает зон РЭБ при любом ненулевом severity.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Архитектура платформы. Спроектирована трёхуровневая архитектура SaaS-платформы SafeAgriRoute (FastAPI + PostGIS + React/Leaflet). Разработан API из 9 ключевых эндпоинтов с JWT HS256-аутентификацией и ролевой моделью. Реализован WebSocket-поток телеметрии для 4 дронов с задержкой ≤ 300 мс. Соответствие OWASP Top-10 реализовано на уровне API и подтверждено тестированием (9 из 10 категорий закрыты полностью).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Алгоритмы маршрутизации. Разработан алгоритм Risk-Weighted Voronoi Decomposition с доказанной сходимостью за конечное число итераций. Penalty-граф на NetworkX гарантирует нулевой FPR при severity ≥ 0,01. Задача CVRP решена через Google OR-Tools (PATH_CHEAPEST_ARC + 2-opt), время планирования для поля 500 га — фактически 347 мс при требовании ≤ 5 секунд.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Динамическое перепланирование. Реализован replanner в двух сценариях: потеря дрона (жадный NN-TSP, время реакции 380 мс) и новая зона РЭБ (инкрементальное обновление risk_map, время реакции 290 мс). Оба значения укладываются в требование ≤ 500 мс. Теоретическая оценка сложности подтверждает масштабируемость до k = 8 дронов без выхода за TTR.</w:t>
      </w:r>
    </w:p>
    <w:p>
      <w:pPr>
        <w:numPr>
          <w:ilvl w:val="0"/>
          <w:numId w:val="1022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Экспериментальная оценка. SAR обеспечил FPR = 0 % против 50 % у baseline (сценарий 2), покрытие 91,8 % против 21,9 % (сценарий 2), восстановление покрытия до 100 % при комбинированном событии «потеря дрона + новая зона РЭБ» против 91,3 % у baseline (сценарий 3). Дисбаланс нагрузки снижен с 28 % до 9 %, что увеличивает реальное время работы группы дронов до исчерпания батарей на ~19 %.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Научная новизна подтверждена тремя оригинальными результатами: - алгоритм RWVD, впервые применяющий риск-взвешенную модификацию алгоритма Ллойда для маршрутизации агро-БПЛА в условиях зон РЭБ; - метрика IRM как стандартизированный критерий надёжности миссии с формально доказанными свойствами; - детализированная модель угроз для гетерогенных групп агро-БПЛА с двойной привязкой к БДУ ФСТЭК и MITRE ATT&amp;CK for ICS.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Практическая значимость подтверждена: - реализацией полнофункционального MVP (исходный код: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hyperlink r:id="rId21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</w:rPr>
          <w:t xml:space="preserve">https://github.com/matveisut/safe-agri-route</w:t>
        </w:r>
      </w:hyperlink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), развёртываемого одной командой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rStyle w:val="VerbatimChar"/>
          <w:sz w:val="28"/>
          <w:szCs w:val="28"/>
          <w:color w:val="000000"/>
        </w:rPr>
        <w:t xml:space="preserve">docker-compose up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; - успешным прохождением 83 pytest-тестов (0 failed) и интеграционного тестирования в ArduPilot SITL; - проведёнными переговорами с 7 представителями ЦА и прогнозируемым ROI клиента ~950 % за первый год.</w:t>
      </w:r>
    </w:p>
    <w:p>
      <w:pPr>
        <w:pStyle w:val="BodyText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Ограничения MVP и приоритетные перспективы развития:</w:t>
      </w:r>
    </w:p>
    <w:p>
      <w:pPr>
        <w:numPr>
          <w:ilvl w:val="0"/>
          <w:numId w:val="102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Замена евклидова расстояния на формулу Хаверсина для полей шириной &gt; 10 км (погрешность &lt; 0,1 % для MVP-масштаба).</w:t>
      </w:r>
    </w:p>
    <w:p>
      <w:pPr>
        <w:numPr>
          <w:ilvl w:val="0"/>
          <w:numId w:val="102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Расширение контура до полной мультисенсорной модели: отдельные потоки IMU и ГНСС-приёмника, SDR-детектор, байесовская fusion, LSTM/трансформер для классификации временных рядов.</w:t>
      </w:r>
    </w:p>
    <w:p>
      <w:pPr>
        <w:numPr>
          <w:ilvl w:val="0"/>
          <w:numId w:val="102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Масштабирование до K &gt; 8 дронов: переход к k-d tree Voronoi и OR-Tools Time Limit.</w:t>
      </w:r>
    </w:p>
    <w:p>
      <w:pPr>
        <w:numPr>
          <w:ilvl w:val="0"/>
          <w:numId w:val="102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Производственное развёртывание с Nginx + TLS 1.3 вместо Vite dev-сервера.</w:t>
      </w:r>
    </w:p>
    <w:p>
      <w:pPr>
        <w:numPr>
          <w:ilvl w:val="0"/>
          <w:numId w:val="1023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Интеграция с ЕИАС-АПК Минсельхоза и получение сертификации ФСТЭК для выхода на объекты КИИ.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Выполненная работа демонстрирует принципиальную реализуемость подхода «безопасность встроена в маршрут» (security-by-design routing) для группы агро-БПЛА. Предлагаемый интегральный критерий IRM может применяться независимо от платформы SafeAgriRoute как стандартизированная метрика оценки качества планирования маршрутов в условиях угроз. Платформа SafeAgriRoute формирует основу для дальнейших исследований в области киберфизической безопасности автономных систем агропромышленного комплекса.</w:t>
      </w:r>
    </w:p>
    <w:bookmarkEnd w:id="81"/>
    <w:bookmarkStart w:id="82" w:name="Xa593552efda3da1492c00056676aa79d725a5ea"/>
    <w:p>
      <w:pPr>
        <w:pStyle w:val="Heading1"/>
        <w:ind w:left="0" w:firstLine="0"/>
        <w:jc w:val="center"/>
        <w:spacing w:line="360" w:lineRule="auto" w:before="24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  <w:color w:val="000000"/>
        </w:rPr>
        <w:t xml:space="preserve">СПИСОК ИСПОЛЬЗОВАННЫХ ИСТОЧНИКОВ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Rejeb, A. Drones in Agriculture: A Review and Bibliometric Analysis / A. Rejeb, A. Abdollahi, K. Rejeb, H. Treiblmaier // Computers and Electronics in Agriculture. — 2022. — Vol. 198. — Art. 107017. — DOI: 10.1016/j.compag.2022.107017.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Guebsi, R. Drones in Precision Agriculture: A Comprehensive Review of Applications, Technologies, and Challenges / R. Guebsi, K. Mami, K. Chokmani // Drones. — 2024. — Vol. 8, No. 11. — Art. 686. — DOI: 10.3390/drones8110686.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Phang, S. K. From Satellite to UAV-Based Remote Sensing: A Review on Precision Agriculture / S. K. Phang, T. H. A. Chiang, A. Happonen, M. M. L. Chang // IEEE Access. — 2023. — Vol. 11. — P. 127057–127076. — DOI: 10.1109/ACCESS.2023.3330886.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MarketsandMarkets. Agriculture Drones Market by Offering Type (Hardware, Software, Drone-as-a-Service), Technology Type, Payload Capacity, Component, Farm Produce, Farm Size, Range, Application, Farming Environment, and Region — Global Forecast to 2030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https://www.marketsandmarkets.com/Market-Reports/agriculture-drones-market-23709764.html (дата обращения: 01.04.2026).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Fortune Business Insights. Agriculture Drone Market Size, Share, Global Forecast, 2032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https://www.fortunebusinessinsights.com/agriculture-drones-market-102589 (дата обращения: 01.04.2026).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Mekdad, Y. A Survey on Security and Privacy Issues of UAVs / Y. Mekdad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Computer Networks. — Elsevier, 2023. — Vol. 224. — Art. 109626.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Tlili, F. Advancing UAV Security with Artificial Intelligence: A Comprehensive Survey of Techniques and Future Directions / F. Tlili, S. Ayed, L. Chaari Fourati // Internet of Things. — 2024. — Vol. 27. — Art. 101281. — DOI: 10.1016/j.iot.2024.101281.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Allouch, A. MAVSec: Securing the MAVLink Protocol for Ardupilot/PX4 Unmanned Aerial Systems / A. Allouch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Proc. 15th Int. Wireless Communications and Mobile Computing Conf. (IWCMC 2019). — IEEE, 2019. — P. 621–628.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Sun, Y. A Deep-Learning-Based GPS Signal Spoofing Detection Method for Small UAVs / Y. Sun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Drones. — 2023. — Vol. 7, No. 6. — Art. 370.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Указ Президента Российской Федерации от 01.05.2022 № 250 «О дополнительных мерах по обеспечению информационной безопасности Российской Федерации» // Официальное опубликование правовых актов. — URL: http://publication.pravo.gov.ru/Document/View/0001202205010023 (дата обращения: 11.05.2026).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Указ Президента Российской Федерации от 30.03.2022 № 166 «О мерах по обеспечению технологической независимости и безопасности критической информационной инфраструктуры Российской Федерации» // Официальное опубликование правовых актов. — URL: http://publication.pravo.gov.ru/Document/View/0001202203300001 (дата обращения: 11.05.2026).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Методический документ. Методика оценки угроз безопасности информации : утверждена ФСТЭК России 05.02.2021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https://www.consultant.ru/document/cons_doc_LAW_378330/ (дата обращения: 11.05.2026).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Ongadi, P. A. A Comprehensive Examination of Security and Privacy in Precision Agriculture Technologies / P. A. Ongadi // GSC Advanced Research and Reviews. — 2024. — Vol. 18, No. 1. — P. 336–363.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Mordor Intelligence. Drone Software Market Size &amp; Share Analysis — Growth Trends &amp; Forecasts (2025–2030)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https://www.mordorintelligence.com/industry-reports/drone-software-market (дата обращения: 01.04.2026).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Douzi, A. Cybersecurity and the Flight Safety of Unmanned Aerial Systems and Unmanned Aerial Vehicles / A. Douzi, R. Szabolcsi, J. Lukacs // Interdisciplinary Description of Complex Systems. — 2025. — Vol. 23, No. 2. — P. 95–104.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Kaplan, E. D. Understanding GPS/GNSS: Principles and Applications / E. D. Kaplan, C. J. Hegarty (eds.). — 3rd ed. — Norwood : Artech House, 2017. — 993 p. — ISBN 978-1-63081-058-0.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Mykytyn, P. GPS-Spoofing Attack Detection Mechanism for UAV Swarms / P. Mykytyn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Proc. 12th Mediterranean Conf. on Embedded Computing (MECO). — IEEE, 2023.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Shepard, D. P. Evaluation of Smart Grid and Civilian UAV Vulnerability to GPS Spoofing Attacks / D. P. Shepard, J. A. Bhatti, T. E. Humphreys // Proc. ION GNSS+ 2012 Conf. — Nashville : ION, 2012. — P. 3591–3605.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Петренко, В. И. Трансформерная модель бинарной классификации временных рядов на данных инерциальных датчиков для детекции спуфинг-атак в БПЛА / В. И. Петренко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и др.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International Journal of Open Information Technologies. — 2026. — Т. 14, № 2. — С. 11–18.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Du, F. Exploiting the Vulnerabilities in MAVLink Protocol for UAV Hijacking / F. Du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Proc. 17th Int. Conf. on Security of Information and Networks (SIN 2024). — IEEE, 2024.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Jeong, S. MUVIDS: False MAVLink Injection Attack Detection in Communication for Unmanned Vehicles / S. Jeong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Proc. Third Int. Workshop on Automotive and Autonomous Vehicle Security (AutoSec 2021). — Internet Society, 2021.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OWASP Foundation. OWASP Top 10:2021. The Ten Most Critical Web Application Security Risks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https://owasp.org/Top10/2021/ (дата обращения: 15.04.2026).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Петренко, В. И. Методика обнаружения и противодействия многовекторным угрозам нарушения информационной безопасности децентрализованной IoT системы / В. И. Петренко, Ф. Б. Тебуева, М. Г. Огур, Г. И. Линец, В. П. Мочалов // International Journal of Open Information Technologies. — 2025. —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https://cyberleninka.ru/article/n/metodika-obnaruzheniya-i-protivodeystviya-mnogovektornym-ugrozam-narusheniya-informatsionnoy-bezopasnosti-detsentralizovannoy-iot (дата обращения: 12.05.2026).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Hakeem, A. Integrating Artificial Intelligence for Improved Security of IoT-Drones through Cyber-Physical Attack Detection / A. Hakeem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Frontiers in Computer Science. — 2025. — Vol. 7. — Art. 1545282.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Sajid, J. A Fog Computing Framework for Intrusion Detection of Energy-Based Attacks on UAV-Assisted Smart Farming / J. Sajid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et al.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// Applied Sciences. — 2023. — Vol. 13, No. 6. — Art. 3857.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Hassler, S. Cyber-Physical Intrusion Detection System for Unmanned Aerial Vehicles / S. Hassler, U. Mughal, M. Ismail // IEEE Transactions on Intelligent Transportation Systems. — 2024. — Vol. 25, No. 7.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MAVLink Developer Guide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MAVLink Micro Air Vehicle Communication Protocol. — URL: https://mavlink.io/en/ (дата обращения: 10.04.2026).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ArduPilot Copter Documentation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https://ardupilot.org/copter/ (дата обращения: 10.04.2026).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ГОСТ Р МЭК 62443-2-1-2015. Сети коммуникационные промышленные. Защищённость (кибербезопасность) сети и системы. Часть 2-1. Составление программы обеспечения защищённости (кибербезопасности) системы управления и промышленной автоматики. — Москва : Стандартинформ, 2016. — 56 с.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ГОСТ Р 56939-2016. Защита информации. Разработка безопасного программного обеспечения. Общие требования. — Москва : Стандартинформ, 2017. — 12 с.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PostGIS 3.3 Manual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The PostGIS Development Group. — URL: https://postgis.net/docs/manual-3.3/ (дата обращения: 10.04.2026).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Hagberg, A. A. Exploring Network Structure, Dynamics, and Function Using NetworkX / A. A. Hagberg, D. A. Schult, P. J. Swart // Proceedings of the 7th Python in Science Conference (SciPy 2008). — Pasadena, CA, 2008. — P. 11–15.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Laporte, G. The Vehicle Routing Problem: An Overview of Exact and Approximate Algorithms / G. Laporte // European Journal of Operational Research. — 1992. — Vol. 59, No. 3. — P. 345–358.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Toth, P. The Vehicle Routing Problem / P. Toth, D. Vigo (eds.). — Philadelphia : SIAM, 2002. — 367 p. — ISBN 0-89871-498-2.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Li, J. Coverage Path Planning Method for Agricultural Spraying UAV in Arbitrary Polygon Area / J. Li, H. Sheng, J. Zhang, H. Zhang // Aerospace. — 2023. — Vol. 10, No. 9. — Art. 755. — DOI: 10.3390/aerospace10090755.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Google OR-Tools. Vehicle Routing Problem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Google Developers. — URL: https://developers.google.com/optimization/routing/vrp (дата обращения: 10.04.2026).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Christofides, N. Worst-Case Analysis of a New Heuristic for the Travelling Salesman Problem : Report 388 / N. Christofides. — Pittsburgh : Carnegie-Mellon University, 1976. — 14 p.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Galceran, E. A Survey on Coverage Path Planning for Robotics / E. Galceran, M. Carreras // Robotics and Autonomous Systems. — 2013. — Vol. 61, No. 12. — P. 1258–1276.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Lloyd, S. P. Least Squares Quantization in PCM / S. P. Lloyd // IEEE Transactions on Information Theory. — 1982. — Vol. 28, No. 2. — P. 129–137.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Aurenhammer, F. Voronoi Diagrams — A Survey of a Fundamental Geometric Data Structure / F. Aurenhammer // ACM Computing Surveys. — 1991. — Vol. 23, No. 3. — P. 345–405.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Dijkstra, E. W. A Note on Two Problems in Connexion with Graphs / E. W. Dijkstra // Numerische Mathematik. — 1959. — Vol. 1, No. 1. — P. 269–271.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Alsadie, D. Cybersecurity and Artificial Intelligence in Unmanned Aerial Vehicles: Emerging Challenges and Advanced Countermeasures / D. Alsadie // IET Information Security. — 2025. — Vol. 19. — Art. 2046868.</w:t>
      </w:r>
    </w:p>
    <w:p>
      <w:pPr>
        <w:numPr>
          <w:ilvl w:val="0"/>
          <w:numId w:val="1024"/>
        </w:numPr>
        <w:ind w:firstLine="709" w:left="0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Банк данных угроз безопасности информации ФСТЭК России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[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Электронный ресурс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. — URL: https://bdu.fstec.ru (дата обращения: 01.04.2026).</w:t>
      </w:r>
    </w:p>
    <w:p>
      <w:pPr>
        <w:pStyle w:val="FirstParagraph"/>
        <w:ind w:firstLine="709"/>
        <w:spacing w:line="360" w:lineRule="auto" w:before="0" w:after="0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</w:rPr>
        <w:t xml:space="preserve">Версия 1.0 · SafeAgriRoute · Сутормин М.П. · Ставрополь, 2026</w:t>
      </w:r>
    </w:p>
    <w:bookmarkEnd w:id="82"/>
    <w:sectPr>
      <w:pgMar w:top="1134" w:right="567" w:bottom="1134" w:left="1701" w:footer="709"/>
      <w:footerReference w:type="default" r:id="rId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1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2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3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4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5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6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7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8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1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2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3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4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5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6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7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  <w:lvl w:ilvl="8"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eastAsia="Times New Roman"/>
        <w:sz w:val="28"/>
        <w:szCs w:val="28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8"/>
        <w:szCs w:val="28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styleId="BodyText" w:type="paragraph">
    <w:name w:val="Body Text"/>
    <w:basedOn w:val="Normal"/>
    <w:link w:val="BodyTextChar"/>
    <w:pPr>
      <w:spacing w:after="0" w:before="0" w:line="360" w:lineRule="auto"/>
      <w:jc w:val="both"/>
      <w:ind w:firstLine="709"/>
    </w:pPr>
    <w:qFormat/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360" w:lineRule="auto"/>
      <w:jc w:val="both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5" w:val="000000"/>
      <w:sz w:val="28"/>
      <w:szCs w:val="28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Author" w:type="paragraph">
    <w:name w:val="Author"/>
    <w:next w:val="BodyText"/>
    <w:qFormat/>
    <w:pPr>
      <w:keepNext/>
      <w:keepLines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Date" w:type="paragraph">
    <w:name w:val="Date"/>
    <w:next w:val="BodyText"/>
    <w:qFormat/>
    <w:pPr>
      <w:keepNext/>
      <w:keepLines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  <w:jc w:val="center"/>
      <w:ind w:firstLine="0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3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4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5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6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7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8"/>
      <w:jc w:val="left"/>
      <w:ind w:firstLine="709" w:left="0"/>
    </w:pPr>
    <w:rPr>
      <w:b/>
      <w:bCs/>
      <w:rFonts w:asciiTheme="majorHAnsi" w:cstheme="majorBidi" w:eastAsiaTheme="majorEastAsia" w:hAnsiTheme="majorHAnsi" w:ascii="Times New Roman" w:hAnsi="Times New Roman" w:cs="Times New Roman" w:eastAsia="Times New Roman"/>
      <w:color w:themeColor="accent1" w:val="000000"/>
      <w:sz w:val="28"/>
      <w:szCs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709" w:left="480" w:right="480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 w:before="0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styleId="Caption" w:type="paragraph">
    <w:name w:val="Caption"/>
    <w:basedOn w:val="Normal"/>
    <w:link w:val="BodyTextChar"/>
    <w:pPr>
      <w:spacing w:after="0" w:before="0" w:line="360" w:lineRule="auto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TableCaption" w:type="paragraph">
    <w:name w:val="Table Caption"/>
    <w:basedOn w:val="Caption"/>
    <w:pPr>
      <w:keepNext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  <w:ind w:firstLine="709"/>
    </w:pPr>
  </w:style>
  <w:style w:customStyle="1" w:styleId="CaptionedFigure" w:type="paragraph">
    <w:name w:val="Captioned Figure"/>
    <w:basedOn w:val="Figure"/>
    <w:pPr>
      <w:keepNext/>
      <w:jc w:val="both"/>
      <w:spacing w:line="360" w:lineRule="auto" w:before="0" w:after="0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  <w:sz w:val="28"/>
      <w:szCs w:val="28"/>
      <w:color w:val="000000"/>
    </w:rPr>
    <w:pPr>
      <w:jc w:val="both"/>
      <w:spacing w:line="360" w:lineRule="auto" w:before="0" w:after="0"/>
    </w:p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themeColor="accent1" w:val="000000"/>
      <w:sz w:val="28"/>
      <w:szCs w:val="28"/>
      <w:u w:val="none"/>
    </w:rPr>
    <w:pPr>
      <w:jc w:val="both"/>
      <w:spacing w:line="360" w:lineRule="auto" w:before="0" w:after="0"/>
    </w:p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360" w:lineRule="auto" w:after="0"/>
      <w:outlineLvl w:val="9"/>
      <w:jc w:val="both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jc w:val="both"/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color w:val="000000"/>
      <w:sz w:val="28"/>
      <w:szCs w:val="28"/>
    </w:rPr>
    <w:pPr>
      <w:jc w:val="both"/>
      <w:spacing w:line="360" w:lineRule="auto" w:before="0" w:after="0"/>
    </w:p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sz w:val="28"/>
      <w:szCs w:val="28"/>
      <w:color w:val="000000"/>
    </w:rPr>
    <w:pPr>
      <w:jc w:val="both"/>
      <w:spacing w:line="360" w:lineRule="auto" w:before="0" w:after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76" Target="media/rId76.png" /><Relationship Type="http://schemas.openxmlformats.org/officeDocument/2006/relationships/image" Id="rId69" Target="media/rId69.png" /><Relationship Type="http://schemas.openxmlformats.org/officeDocument/2006/relationships/hyperlink" Id="rId21" Target="https://github.com/matveisut/safe-agri-route" TargetMode="External" /><Relationship Id="rIdFooter1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atveisut/safe-agri-rou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2026-05-13T13:21:16Z</dcterms:created>
  <dcterms:modified xsi:type="dcterms:W3CDTF">2026-05-13T13:21:16Z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