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82.png" ContentType="image/png"/>
  <Override PartName="/word/media/rId76.png" ContentType="image/png"/>
  <Override PartName="/word/media/rId86.png" ContentType="image/png"/>
  <Override PartName="/word/media/rId79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ns2="http://schemas.openxmlformats.org/officeDocument/2006/math" xmlns:ns3="http://schemas.openxmlformats.org/drawingml/2006/wordprocessingDrawing" xmlns:ns4="http://schemas.openxmlformats.org/drawingml/2006/main" xmlns:ns5="http://schemas.openxmlformats.org/drawingml/2006/picture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a9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a3"/>
      </w:pPr>
      <w:r>
        <w:t xml:space="preserve">Министерство науки и высшего образования Российской Федерации</w:t>
      </w:r>
    </w:p>
    <w:p>
      <w:pPr>
        <w:pStyle w:val="a3"/>
      </w:pPr>
      <w:r>
        <w:t xml:space="preserve">Федеральное государственное автономное образовательное учреждение высшего образования</w:t>
      </w:r>
    </w:p>
    <w:p>
      <w:pPr>
        <w:pStyle w:val="a3"/>
      </w:pPr>
      <w:r>
        <w:rPr>
          <w:bCs/>
          <w:b/>
        </w:rPr>
        <w:t xml:space="preserve">«Северо-Кавказский федеральный университет»</w:t>
      </w:r>
    </w:p>
    <w:p>
      <w:pPr>
        <w:pStyle w:val="a3"/>
      </w:pPr>
      <w:r>
        <w:t xml:space="preserve">Факультет математики и компьютерных наук им. профессора Н.И. Червякова</w:t>
      </w:r>
    </w:p>
    <w:p>
      <w:pPr>
        <w:pStyle w:val="a3"/>
      </w:pPr>
      <w:r>
        <w:t xml:space="preserve">Кафедра организации и технологии защиты информации</w:t>
      </w:r>
    </w:p>
    <w:p>
      <w:pPr>
        <w:pStyle w:val="a3"/>
      </w:pPr>
      <w:r>
        <w:rPr>
          <w:bCs/>
          <w:b/>
        </w:rPr>
        <w:t xml:space="preserve">ВЫПУСКНАЯ КВАЛИФИКАЦИОННАЯ РАБОТА СТУДЕНТА</w:t>
      </w:r>
    </w:p>
    <w:p>
      <w:pPr>
        <w:pStyle w:val="a3"/>
      </w:pPr>
      <w:r>
        <w:t xml:space="preserve">Раздел 1. Проектирование архитектуры и разработка серверной части платформы планирования безопасных маршрутов БПЛА с модулем оценки киберугроз</w:t>
      </w:r>
    </w:p>
    <w:p>
      <w:pPr>
        <w:pStyle w:val="a3"/>
      </w:pPr>
      <w:r>
        <w:rPr>
          <w:bCs/>
          <w:b/>
        </w:rPr>
        <w:t xml:space="preserve">«Разработка платформы автоматизированного планирования безопасных маршрутов для групп сельскохозяйственных дронов с учётом киберугроз»</w:t>
      </w:r>
    </w:p>
    <w:p>
      <w:pPr>
        <w:pStyle w:val="a3"/>
      </w:pPr>
      <w:r>
        <w:t xml:space="preserve">Направление подготовки: 10.03.01 «Информационная безопасность»</w:t>
      </w:r>
    </w:p>
    <w:p>
      <w:pPr>
        <w:pStyle w:val="a3"/>
      </w:pPr>
      <w:r>
        <w:t xml:space="preserve">Студент: Сутормин Матвей Павлович</w:t>
      </w:r>
    </w:p>
    <w:p>
      <w:pPr>
        <w:pStyle w:val="a3"/>
      </w:pPr>
      <w:r>
        <w:t xml:space="preserve">Группа: ИНБ-б-о-22-1</w:t>
      </w:r>
    </w:p>
    <w:p>
      <w:pPr>
        <w:pStyle w:val="a3"/>
      </w:pPr>
      <w:r>
        <w:t xml:space="preserve">Руководитель: канд. техн. наук, доцент Петренко В.И.</w:t>
      </w:r>
    </w:p>
    <w:p>
      <w:pPr>
        <w:pStyle w:val="a3"/>
      </w:pPr>
      <w:r>
        <w:t xml:space="preserve">Ставрополь, 2026</w:t>
      </w:r>
    </w:p>
    <w:p>
      <w:pPr>
        <w:pStyle w:val="BodyText"/>
      </w:pPr>
      <w:r>
        <w:t xml:space="preserve"> </w:t>
      </w:r>
      <w:r>
        <w:t xml:space="preserve"># Задание на выпускную квалификационную работу (стартап)</w:t>
      </w:r>
    </w:p>
    <w:p>
      <w:pPr>
        <w:pStyle w:val="BlockText"/>
      </w:pPr>
      <w:r>
        <w:t xml:space="preserve">Актуализация 22.04.2026: формулировки задания синхронизированы с текущим состоянием кода (выполнены промпты 13–22; validation report + PLR/packet-loss обновления).</w:t>
      </w:r>
    </w:p>
    <w:p>
      <w:pPr>
        <w:pStyle w:val="FirstParagraph"/>
      </w:pPr>
      <w:r>
        <w:t xml:space="preserve">Формальный текст задания вынесен из</w:t>
      </w:r>
      <w:r>
        <w:t xml:space="preserve"> </w:t>
      </w:r>
      <w:hyperlink ns1:id="rId20">
        <w:r>
          <w:rPr>
            <w:rStyle w:val="VerbatimChar"/>
          </w:rPr>
          <w:t xml:space="preserve">roadmap_task.md</w:t>
        </w:r>
      </w:hyperlink>
      <w:r>
        <w:t xml:space="preserve">, чтобы календарный план и официальное задание не смешивались в одном файле.</w:t>
      </w:r>
    </w:p>
    <w:p>
      <w:pPr>
        <w:pStyle w:val="BodyText"/>
      </w:pPr>
      <w:r>
        <w:rPr>
          <w:bCs/>
          <w:b/>
        </w:rPr>
        <w:t xml:space="preserve">Согласование с ТЗ на ПО:</w:t>
      </w:r>
      <w:r>
        <w:t xml:space="preserve"> </w:t>
      </w:r>
      <w:r>
        <w:t xml:space="preserve">детали реализации платформы — в</w:t>
      </w:r>
      <w:r>
        <w:t xml:space="preserve"> </w:t>
      </w:r>
      <w:hyperlink ns1:id="rId21">
        <w:r>
          <w:rPr>
            <w:rStyle w:val="VerbatimChar"/>
          </w:rPr>
          <w:t xml:space="preserve">ТЗ.md</w:t>
        </w:r>
      </w:hyperlink>
      <w:r>
        <w:t xml:space="preserve">. Раздел</w:t>
      </w:r>
      <w:r>
        <w:t xml:space="preserve"> </w:t>
      </w:r>
      <w:r>
        <w:rPr>
          <w:bCs/>
          <w:b/>
        </w:rPr>
        <w:t xml:space="preserve">§10</w:t>
      </w:r>
      <w:r>
        <w:t xml:space="preserve"> </w:t>
      </w:r>
      <w:r>
        <w:t xml:space="preserve">описывает</w:t>
      </w:r>
      <w:r>
        <w:t xml:space="preserve"> </w:t>
      </w:r>
      <w:r>
        <w:rPr>
          <w:bCs/>
          <w:b/>
        </w:rPr>
        <w:t xml:space="preserve">целевую</w:t>
      </w:r>
      <w:r>
        <w:t xml:space="preserve"> </w:t>
      </w:r>
      <w:r>
        <w:t xml:space="preserve">модель динамического определения угрозы по нескольким источникам (GNSS, IMU, радиоканал, согласованность роя и др.) и слияния признаков. В репозитории реализована</w:t>
      </w:r>
      <w:r>
        <w:t xml:space="preserve"> </w:t>
      </w:r>
      <w:r>
        <w:rPr>
          <w:bCs/>
          <w:b/>
        </w:rPr>
        <w:t xml:space="preserve">упрощённая</w:t>
      </w:r>
      <w:r>
        <w:t xml:space="preserve"> </w:t>
      </w:r>
      <w:r>
        <w:t xml:space="preserve">цепочка по MAVLink (эвристики, без ML/SDR) — см.</w:t>
      </w:r>
      <w:r>
        <w:t xml:space="preserve"> </w:t>
      </w:r>
      <w:hyperlink ns1:id="rId22">
        <w:r>
          <w:rPr>
            <w:rStyle w:val="VerbatimChar"/>
          </w:rPr>
          <w:t xml:space="preserve">Промпты.md</w:t>
        </w:r>
      </w:hyperlink>
      <w:r>
        <w:t xml:space="preserve"> </w:t>
      </w:r>
      <w:r>
        <w:t xml:space="preserve">9–12;</w:t>
      </w:r>
      <w:r>
        <w:t xml:space="preserve"> </w:t>
      </w:r>
      <w:r>
        <w:rPr>
          <w:bCs/>
          <w:b/>
        </w:rPr>
        <w:t xml:space="preserve">полная</w:t>
      </w:r>
      <w:r>
        <w:t xml:space="preserve"> </w:t>
      </w:r>
      <w:r>
        <w:t xml:space="preserve">постановка §10</w:t>
      </w:r>
      <w:r>
        <w:t xml:space="preserve"> </w:t>
      </w:r>
      <w:r>
        <w:rPr>
          <w:bCs/>
          <w:b/>
        </w:rPr>
        <w:t xml:space="preserve">не входит</w:t>
      </w:r>
      <w:r>
        <w:t xml:space="preserve"> </w:t>
      </w:r>
      <w:r>
        <w:t xml:space="preserve">в минимальный объём подтверждения задания и может излагаться в перспективах ВКР и в</w:t>
      </w:r>
      <w:r>
        <w:t xml:space="preserve"> </w:t>
      </w:r>
      <w:hyperlink ns1:id="rId23">
        <w:r>
          <w:rPr>
            <w:rStyle w:val="VerbatimChar"/>
          </w:rPr>
          <w:t xml:space="preserve">knowledge/</w:t>
        </w:r>
      </w:hyperlink>
      <w:r>
        <w:t xml:space="preserve">.</w:t>
      </w:r>
    </w:p>
    <w:p>
      <w:pPr>
        <w:pStyle w:val="BodyText"/>
      </w:pPr>
      <w:r>
        <w:t xml:space="preserve">Министерство науки и высшего образования Российской Федерации</w:t>
      </w:r>
      <w:r>
        <w:t xml:space="preserve"> </w:t>
      </w:r>
      <w:r>
        <w:t xml:space="preserve">Федеральное государственное автономное образовательное учреждение высшего образования</w:t>
      </w:r>
      <w:r>
        <w:t xml:space="preserve"> </w:t>
      </w:r>
      <w:r>
        <w:t xml:space="preserve">«СЕВЕРО-КАВКАЗСКИЙ ФЕДЕРАЛЬНЫЙ УНИВЕРСИТЕТ»</w:t>
      </w:r>
    </w:p>
    <w:p>
      <w:pPr>
        <w:pStyle w:val="BodyText"/>
      </w:pPr>
      <w:r>
        <w:rPr>
          <w:bCs/>
          <w:b/>
        </w:rPr>
        <w:t xml:space="preserve">Факультет:</w:t>
      </w:r>
      <w:r>
        <w:t xml:space="preserve"> </w:t>
      </w:r>
      <w:r>
        <w:t xml:space="preserve">Факультет математики и компьютерных наук им. профессора Н.И. Червякова</w:t>
      </w:r>
      <w:r>
        <w:br/>
      </w:r>
      <w:r>
        <w:rPr>
          <w:bCs/>
          <w:b/>
        </w:rPr>
        <w:t xml:space="preserve">Кафедра:</w:t>
      </w:r>
      <w:r>
        <w:t xml:space="preserve"> </w:t>
      </w:r>
      <w:r>
        <w:t xml:space="preserve">Организации и технологии защиты информации</w:t>
      </w:r>
      <w:r>
        <w:br/>
      </w:r>
      <w:r>
        <w:rPr>
          <w:bCs/>
          <w:b/>
        </w:rPr>
        <w:t xml:space="preserve">Направление подготовки:</w:t>
      </w:r>
      <w:r>
        <w:t xml:space="preserve"> </w:t>
      </w:r>
      <w:r>
        <w:t xml:space="preserve">10.03.01 «Информационная безопасность»</w:t>
      </w:r>
      <w:r>
        <w:br/>
      </w:r>
      <w:r>
        <w:rPr>
          <w:bCs/>
          <w:b/>
        </w:rPr>
        <w:t xml:space="preserve">Направленность (профиль):</w:t>
      </w:r>
      <w:r>
        <w:t xml:space="preserve"> </w:t>
      </w:r>
      <w:r>
        <w:t xml:space="preserve">«Организация и технологии защиты информации (по отрасли или в сфере профессиональной деятельности)»</w:t>
      </w:r>
    </w:p>
    <w:p>
      <w:pPr>
        <w:pStyle w:val="BodyText"/>
      </w:pPr>
      <w:r>
        <w:t xml:space="preserve">«УТВЕРЖДАЮ»</w:t>
      </w:r>
      <w:r>
        <w:t xml:space="preserve"> </w:t>
      </w:r>
      <w:r>
        <w:t xml:space="preserve">Зав. кафедрой организации и технологии защиты информации</w:t>
      </w:r>
      <w:r>
        <w:t xml:space="preserve"> </w:t>
      </w:r>
      <w:r>
        <w:t xml:space="preserve">канд. техн. наук, доцент Петренко В. И.</w:t>
      </w:r>
      <w:r>
        <w:t xml:space="preserve"> </w:t>
      </w:r>
      <w:r>
        <w:t xml:space="preserve">_____________________________ (подпись)</w:t>
      </w:r>
      <w:r>
        <w:t xml:space="preserve"> </w:t>
      </w:r>
      <w:r>
        <w:t xml:space="preserve">«_____»_____________2026 г.</w:t>
      </w:r>
    </w:p>
    <w:p>
      <w:pPr>
        <w:pStyle w:val="BodyText"/>
      </w:pPr>
      <w:r>
        <w:rPr>
          <w:bCs/>
          <w:b/>
        </w:rPr>
        <w:t xml:space="preserve">Тема ВКРС:</w:t>
      </w:r>
      <w:r>
        <w:t xml:space="preserve"> </w:t>
      </w:r>
      <w:r>
        <w:t xml:space="preserve">Разработка платформы автоматизированного планирования безопасных маршрутов для групп сельскохозяйственных дронов с учётом киберугроз</w:t>
      </w:r>
      <w:r>
        <w:br/>
      </w:r>
      <w:r>
        <w:rPr>
          <w:iCs/>
          <w:i/>
        </w:rPr>
        <w:t xml:space="preserve">(Утверждена приказом проректора по учебной работе от «</w:t>
      </w:r>
      <w:r>
        <w:rPr>
          <w:iCs/>
          <w:i/>
          <w:bCs/>
          <w:b/>
          <w:iCs/>
          <w:i/>
        </w:rPr>
        <w:t xml:space="preserve">»</w:t>
      </w:r>
      <w:r>
        <w:rPr>
          <w:iCs/>
          <w:i/>
        </w:rPr>
        <w:t xml:space="preserve">_____2026 г. №______)</w:t>
      </w:r>
    </w:p>
    <w:bookmarkStart w:id="27" w:name="Xfc051a4897ed830158aa232d5a6a67dd6f294d6"/>
    <w:p>
      <w:pPr>
        <w:pStyle w:val="2"/>
      </w:pPr>
      <w:r>
        <w:t xml:space="preserve">РАЗДЕЛ 1. Проектирование архитектуры и разработка серверной части платформы планирования безопасных маршрутов БПЛА с модулем оценки киберугроз</w:t>
      </w:r>
    </w:p>
    <w:p>
      <w:pPr>
        <w:pStyle w:val="FirstParagraph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Сутормин Матвей Павлович (группа: ИНБ-б-о-22-1, Курс: 4)</w:t>
      </w:r>
    </w:p>
    <w:bookmarkStart w:id="24" w:name="исходные-данные-для-проектирования"/>
    <w:p>
      <w:pPr>
        <w:pStyle w:val="3"/>
      </w:pPr>
      <w:r>
        <w:t xml:space="preserve">2.1. Исходные данные для проектирования:</w:t>
      </w:r>
    </w:p>
    <w:p>
      <w:pPr>
        <w:numPr>
          <w:ilvl w:val="0"/>
          <w:numId w:val="1001"/>
        </w:numPr>
        <w:pStyle w:val="Compact"/>
      </w:pPr>
      <w:r>
        <w:t xml:space="preserve">Математическая модель интегрального критерия доверенной эффективности.</w:t>
      </w:r>
    </w:p>
    <w:p>
      <w:pPr>
        <w:numPr>
          <w:ilvl w:val="0"/>
          <w:numId w:val="1001"/>
        </w:numPr>
        <w:pStyle w:val="Compact"/>
      </w:pPr>
      <w:r>
        <w:t xml:space="preserve">Алгоритмы динамического перепланирования маршрутов.</w:t>
      </w:r>
    </w:p>
    <w:p>
      <w:pPr>
        <w:numPr>
          <w:ilvl w:val="0"/>
          <w:numId w:val="1001"/>
        </w:numPr>
        <w:pStyle w:val="Compact"/>
      </w:pPr>
      <w:r>
        <w:t xml:space="preserve">Метрика оценки деструктивного воздействия на процесс координации и маршрутизации.</w:t>
      </w:r>
    </w:p>
    <w:p>
      <w:pPr>
        <w:numPr>
          <w:ilvl w:val="0"/>
          <w:numId w:val="1001"/>
        </w:numPr>
        <w:pStyle w:val="Compact"/>
      </w:pPr>
      <w:r>
        <w:t xml:space="preserve">Данные о характеристиках коммерческих агро-БПЛА (автономность, полезная нагрузка, радиус связи).</w:t>
      </w:r>
    </w:p>
    <w:p>
      <w:pPr>
        <w:numPr>
          <w:ilvl w:val="0"/>
          <w:numId w:val="1001"/>
        </w:numPr>
        <w:pStyle w:val="Compact"/>
      </w:pPr>
      <w:r>
        <w:t xml:space="preserve">Open-source библиотеки: OR-Tools, networkx, FastAPI, PostGIS.</w:t>
      </w:r>
    </w:p>
    <w:bookmarkEnd w:id="24"/>
    <w:bookmarkStart w:id="25" w:name="X0b6ee1f2fa5d27a28eb5c970a2bb6e13c484cba"/>
    <w:p>
      <w:pPr>
        <w:pStyle w:val="3"/>
      </w:pPr>
      <w:r>
        <w:t xml:space="preserve">2.2. Структура и содержание первого раздела ВКРС: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36"/>
        <w:gridCol w:w="2436"/>
        <w:gridCol w:w="3046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Структурный элемент ВКРС / этап ГИА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Содержание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Компетенции (10.03.01)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Титульный лист, задание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Оформление по регламенту ВКРС СКФУ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Содержание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Перечень разделов и подразделов работы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Введение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Обоснование актуальности. Анализ рынка и существующих решений. Формулировка проблемы, цели и задач. Описание бизнес-идеи стартапа.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ОПК-1, ОПК-3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1.1 Общее описание проекта (совместный раздел)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Тренды рынка агродронов, анализ ЦА, конкурентный анализ. Описание продукта. Бизнес-модель (SaaS). Финансовый план и стратегия.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ОПК-1, ОПК-3, УК-2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1.2 Анализ угроз и моделирование рисков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Систематизация деструктивных воздействий. Разработка модели угроз. Формализация метрики оценки деструктивного воздействия.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ОПК-2, ОПК-4, ПК-1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1.3 Проектирование архитектуры платформы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Разработка общей архитектуры системы. Проектирование базы данных (PostGIS), REST API. Модуль карты рисков. Спецификация MAVLink-интеграции.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ОПК-4, ПК-2, ПК-3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1.4 Разработка серверной части и алгоритмов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Backend (Python, FastAPI). Алгоритм разбиения зоны покрытия. Модуль карты рисков. Логика динамического перепланирования.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ОПК-4, ПК-2, ПК-3, ПК-4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1.5 Эксперименты и оценка эффективности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Тестовые сценарии и метрики по</w:t>
            </w:r>
            <w:r>
              <w:t xml:space="preserve"> </w:t>
            </w:r>
            <w:r>
              <w:rPr>
                <w:rStyle w:val="VerbatimChar"/>
              </w:rPr>
              <w:t xml:space="preserve">План обдуманный.md</w:t>
            </w:r>
            <w:r>
              <w:t xml:space="preserve"> </w:t>
            </w:r>
            <w:r>
              <w:t xml:space="preserve">§1.5. Воспроизводимая Python-симуляция (baseline vs предлагаемый алгоритм); при наличии среды — демонстрация на ArduPilot SITL. Сравнение с аналогами по ключевым критериям.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ОПК-4, ПК-3, ПК-4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Выводы по результатам разработки серверной части и алгоритмов. Перспективы.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УК-1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Список использованных источников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 менее 40 источников, в т.ч. не менее 10 на иностранном языке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Защита ВКРС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Доклад, демонстрация MVP, результаты тестирования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УК-4</w:t>
            </w:r>
          </w:p>
        </w:tc>
      </w:tr>
    </w:tbl>
    <w:bookmarkEnd w:id="25"/>
    <w:bookmarkStart w:id="26" w:name="перечень-графического-материала"/>
    <w:p>
      <w:pPr>
        <w:pStyle w:val="3"/>
      </w:pPr>
      <w:r>
        <w:t xml:space="preserve">2.3. Перечень графического материала:</w:t>
      </w:r>
    </w:p>
    <w:p>
      <w:pPr>
        <w:pStyle w:val="FirstParagraph"/>
      </w:pPr>
      <w:r>
        <w:t xml:space="preserve">Диаграмма архитектуры платформы (UML); ER-диаграмма базы данных; блок-схема алгоритма маршрутизации с учётом риска; блок-схема алгоритма динамического перепланирования; скриншоты работы веб-платформы и/или ArduPilot SITL (по наличию); графики сравнительной оценки эффективности (Python-симуляция).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Дата выдачи задания:</w:t>
      </w:r>
      <w:r>
        <w:t xml:space="preserve"> </w:t>
      </w:r>
      <w:r>
        <w:t xml:space="preserve">01 апреля 2026 г.</w:t>
      </w:r>
      <w:r>
        <w:br/>
      </w:r>
      <w:r>
        <w:rPr>
          <w:bCs/>
          <w:b/>
        </w:rPr>
        <w:t xml:space="preserve">Руководитель (координатор) проекта:</w:t>
      </w:r>
      <w:r>
        <w:t xml:space="preserve"> </w:t>
      </w:r>
      <w:r>
        <w:t xml:space="preserve">______________ Петренко В.И.</w:t>
      </w:r>
      <w:r>
        <w:br/>
      </w:r>
      <w:r>
        <w:rPr>
          <w:bCs/>
          <w:b/>
        </w:rPr>
        <w:t xml:space="preserve">Руководитель первого раздела проекта:</w:t>
      </w:r>
      <w:r>
        <w:t xml:space="preserve"> </w:t>
      </w:r>
      <w:r>
        <w:t xml:space="preserve">______________ Петренко В.И.</w:t>
      </w:r>
      <w:r>
        <w:br/>
      </w:r>
      <w:r>
        <w:rPr>
          <w:bCs/>
          <w:b/>
        </w:rPr>
        <w:t xml:space="preserve">Задание принял к исполнению:</w:t>
      </w:r>
      <w:r>
        <w:t xml:space="preserve"> </w:t>
      </w:r>
      <w:r>
        <w:t xml:space="preserve">______________ Сутормин М.П.</w:t>
      </w:r>
    </w:p>
    <w:bookmarkEnd w:id="26"/>
    <w:bookmarkEnd w:id="27"/>
    <w:bookmarkStart w:id="31" w:name="X19183dd426a52128719c4fb0570ee14576a4def"/>
    <w:p>
      <w:pPr>
        <w:pStyle w:val="2"/>
      </w:pPr>
      <w:r>
        <w:t xml:space="preserve">РАЗДЕЛ 2. Разработка клиентской части платформы и модуля обеспечения информационной безопасности взаимодействия с группой БПЛА</w:t>
      </w:r>
    </w:p>
    <w:p>
      <w:pPr>
        <w:pStyle w:val="FirstParagraph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Яковенко Вячеслав Станиславович (группа: ИНБ-б-о-22-1, Курс: 4)</w:t>
      </w:r>
    </w:p>
    <w:bookmarkStart w:id="28" w:name="исходные-данные-для-проектирования-1"/>
    <w:p>
      <w:pPr>
        <w:pStyle w:val="3"/>
      </w:pPr>
      <w:r>
        <w:t xml:space="preserve">3.1. Исходные данные для проектирования:</w:t>
      </w:r>
    </w:p>
    <w:p>
      <w:pPr>
        <w:numPr>
          <w:ilvl w:val="0"/>
          <w:numId w:val="1002"/>
        </w:numPr>
        <w:pStyle w:val="Compact"/>
      </w:pPr>
      <w:r>
        <w:t xml:space="preserve">Архитектура серверной части платформы и REST API (результат Раздела 1, Сутормин М.П.).</w:t>
      </w:r>
    </w:p>
    <w:p>
      <w:pPr>
        <w:numPr>
          <w:ilvl w:val="0"/>
          <w:numId w:val="1002"/>
        </w:numPr>
        <w:pStyle w:val="Compact"/>
      </w:pPr>
      <w:r>
        <w:t xml:space="preserve">Модель угроз из базового НИР (рук. доцент В.И. Петренко). Протоколы взаимодействия с БПЛА (MAVLink).</w:t>
      </w:r>
    </w:p>
    <w:p>
      <w:pPr>
        <w:numPr>
          <w:ilvl w:val="0"/>
          <w:numId w:val="1002"/>
        </w:numPr>
        <w:pStyle w:val="Compact"/>
      </w:pPr>
      <w:r>
        <w:t xml:space="preserve">Стандарты ИБ: ГОСТ Р 56939-2016, OWASP Top-10, методика ФСТЭК по оценке угроз (2021).</w:t>
      </w:r>
    </w:p>
    <w:p>
      <w:pPr>
        <w:numPr>
          <w:ilvl w:val="0"/>
          <w:numId w:val="1002"/>
        </w:numPr>
        <w:pStyle w:val="Compact"/>
      </w:pPr>
      <w:r>
        <w:t xml:space="preserve">Библиотеки и фреймворки: React, Leaflet, Vite, Zustand; JWT (реализация на backend); при необходимости обоснования — TLS/mTLS, cryptography (как направления усиления).</w:t>
      </w:r>
    </w:p>
    <w:bookmarkEnd w:id="28"/>
    <w:bookmarkStart w:id="29" w:name="X0c7841150df7f20ca878df7b23479f6cd749179"/>
    <w:p>
      <w:pPr>
        <w:pStyle w:val="3"/>
      </w:pPr>
      <w:r>
        <w:t xml:space="preserve">3.2. Структура и содержание второго раздела ВКРС: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36"/>
        <w:gridCol w:w="2436"/>
        <w:gridCol w:w="3046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Структурный элемент ВКРС / этап ГИА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Содержание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Компетенции (10.03.01)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Титульный лист, задание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Оформление по регламенту ВКРС СКФУ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Содержание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Перечень разделов и подразделов работы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Введение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Обоснование актуальности обеспечения ИБ. Анализ угроз каналу управления. Цель и задачи раздела. Роль клиентской части и модуля ИБ.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ОПК-1, ОПК-3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2.1 Общее описание проекта (совместный раздел)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Тренды рынка агродронов, анализ ЦА, конкурентный анализ. Описание продукта. Бизнес-модель (SaaS). Финансовый план (Совместно с Суторминым).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ОПК-1, ОПК-3, УК-2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2.2 Анализ требований к ИБ платформы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Анализ угроз (OWASP Top-10, перехват MAVLink, replay-атаки). Формирование требований к защите. Выбор механизмов защиты.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ОПК-2, ОПК-4, ПК-1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2.3 Разработка клиентской части платформы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Проектирование UX/UI оператора (GeoJSON/KML, настройка миссии, карта React.js + Leaflet.js). Панель диспетчеризации. Интеграция с REST API.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ОПК-4, ПК-2, ПК-3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2.4 Разработка модуля информационной безопасности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Подсистема аутентификации (JWT) и ролевая модель. Анализ и обоснование защиты канала MAVLink (в объёме MVP — pymavlink; TLS/mTLS/HMAC — как перспектива усиления). Аудит действий (по объёму ВКР). Защита от типовых веб-уязвимостей.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ОПК-2, ОПК-4, ПК-1, ПК-4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2.5 Тестирование безопасности и интеграционное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Разработка методики тестирования. Пентест веб-интерфейса. Моделирование атак на канал связи. Интеграционное тестирование.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ОПК-4, ПК-3, ПК-4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Выводы по результатам разработки. Рекомендации по усилению защищённости.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УК-1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Список использованных источников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 менее 40 источников, в т.ч. не менее 10 на иностранном языке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Защита ВКРС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Доклад, демонстрация интерфейса и модуля ИБ, результаты пентеста</w:t>
            </w:r>
          </w:p>
        </w:tc>
        <w:tc>
          <w:tcPr>
            <w:tcW w:type="auto" w:w="0"/>
          </w:tcPr>
          <w:p>
            <w:pPr>
              <w:pStyle w:val="Compact"/>
              <w:jc w:val="center"/>
            </w:pPr>
            <w:r>
              <w:t xml:space="preserve">УК-4</w:t>
            </w:r>
          </w:p>
        </w:tc>
      </w:tr>
    </w:tbl>
    <w:bookmarkEnd w:id="29"/>
    <w:bookmarkStart w:id="30" w:name="перечень-графического-материала-1"/>
    <w:p>
      <w:pPr>
        <w:pStyle w:val="3"/>
      </w:pPr>
      <w:r>
        <w:t xml:space="preserve">3.3. Перечень графического материала:</w:t>
      </w:r>
    </w:p>
    <w:p>
      <w:pPr>
        <w:pStyle w:val="FirstParagraph"/>
      </w:pPr>
      <w:r>
        <w:t xml:space="preserve">Макеты интерфейса (wireframes); скриншоты реализованного веб-интерфейса; диаграмма потоков данных (DFD) с указанием точек защиты; схема аутентификации и авторизации (JWT); схема канала связи с БПЛА (MAVLink; при необходимости — варианты усиления TLS/mTLS); результаты проверок / пентеста (отчёт или таблица); скриншоты интеграционного тестирования.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Срок представления ВКРС к защите:</w:t>
      </w:r>
      <w:r>
        <w:t xml:space="preserve"> </w:t>
      </w:r>
      <w:r>
        <w:t xml:space="preserve">01 июня 2026 г.</w:t>
      </w:r>
      <w:r>
        <w:br/>
      </w:r>
      <w:r>
        <w:rPr>
          <w:bCs/>
          <w:b/>
        </w:rPr>
        <w:t xml:space="preserve">Дата выдачи задания:</w:t>
      </w:r>
      <w:r>
        <w:t xml:space="preserve"> </w:t>
      </w:r>
      <w:r>
        <w:t xml:space="preserve">01 апреля 2026 г.</w:t>
      </w:r>
      <w:r>
        <w:br/>
      </w:r>
      <w:r>
        <w:rPr>
          <w:bCs/>
          <w:b/>
        </w:rPr>
        <w:t xml:space="preserve">Руководитель (координатор) проекта:</w:t>
      </w:r>
      <w:r>
        <w:t xml:space="preserve"> </w:t>
      </w:r>
      <w:r>
        <w:t xml:space="preserve">______________ Петренко В.И.</w:t>
      </w:r>
      <w:r>
        <w:br/>
      </w:r>
      <w:r>
        <w:rPr>
          <w:bCs/>
          <w:b/>
        </w:rPr>
        <w:t xml:space="preserve">Руководитель второго раздела проекта:</w:t>
      </w:r>
      <w:r>
        <w:t xml:space="preserve"> </w:t>
      </w:r>
      <w:r>
        <w:t xml:space="preserve">______________ Антонов В.В.</w:t>
      </w:r>
      <w:r>
        <w:br/>
      </w:r>
      <w:r>
        <w:rPr>
          <w:bCs/>
          <w:b/>
        </w:rPr>
        <w:t xml:space="preserve">Задание принял к исполнению:</w:t>
      </w:r>
      <w:r>
        <w:t xml:space="preserve"> </w:t>
      </w:r>
      <w:r>
        <w:t xml:space="preserve">______________ Яковенко В.С.</w:t>
      </w:r>
    </w:p>
    <w:p>
      <w:pPr>
        <w:pStyle w:val="BodyText"/>
      </w:pPr>
      <w:r>
        <w:rPr>
          <w:iCs/>
          <w:i/>
        </w:rPr>
        <w:t xml:space="preserve">Текст синхронизирован 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roadmap_task.md</w:t>
      </w:r>
      <w:r>
        <w:rPr>
          <w:iCs/>
          <w:i/>
        </w:rPr>
        <w:t xml:space="preserve"> </w:t>
      </w:r>
      <w:r>
        <w:rPr>
          <w:iCs/>
          <w:i/>
        </w:rPr>
        <w:t xml:space="preserve">(вынесен 19.04.2026). Дополнено ссылкой на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ТЗ.md</w:t>
      </w:r>
      <w:r>
        <w:rPr>
          <w:iCs/>
          <w:i/>
        </w:rPr>
        <w:t xml:space="preserve"> </w:t>
      </w:r>
      <w:r>
        <w:rPr>
          <w:iCs/>
          <w:i/>
        </w:rPr>
        <w:t xml:space="preserve">§10 (апрель 2026).</w:t>
      </w:r>
    </w:p>
    <w:p>
      <w:pPr>
        <w:pStyle w:val="BodyText"/>
      </w:pPr>
    </w:p>
    <w:bookmarkEnd w:id="30"/>
    <w:bookmarkEnd w:id="31"/>
    <w:bookmarkStart w:id="32" w:name="реферат"/>
    <w:p>
      <w:pPr>
        <w:pStyle w:val="2"/>
      </w:pPr>
      <w:r>
        <w:t xml:space="preserve">РЕФЕРАТ</w:t>
      </w:r>
    </w:p>
    <w:p>
      <w:pPr>
        <w:pStyle w:val="FirstParagraph"/>
      </w:pPr>
      <w:r>
        <w:t xml:space="preserve">Выпускная квалификационная работа студента на тему «Разработка платформы автоматизированного планирования безопасных маршрутов для групп сельскохозяйственных дронов с учётом киберугроз» выполнена по направлению подготовки 10.03.01 «Информационная безопасность».</w:t>
      </w:r>
    </w:p>
    <w:p>
      <w:pPr>
        <w:pStyle w:val="BodyText"/>
      </w:pPr>
      <w:r>
        <w:rPr>
          <w:bCs/>
          <w:b/>
        </w:rPr>
        <w:t xml:space="preserve">Объём раздела 1:</w:t>
      </w:r>
      <w:r>
        <w:t xml:space="preserve"> </w:t>
      </w:r>
      <w:r>
        <w:t xml:space="preserve">65 страниц, 15 таблиц, 6 рисунков (схем), 43 источника (из них 19 на иностранном языке).</w:t>
      </w:r>
    </w:p>
    <w:p>
      <w:pPr>
        <w:pStyle w:val="BodyText"/>
      </w:pPr>
      <w:r>
        <w:rPr>
          <w:bCs/>
          <w:b/>
        </w:rPr>
        <w:t xml:space="preserve">Ключевые слова:</w:t>
      </w:r>
      <w:r>
        <w:t xml:space="preserve"> </w:t>
      </w:r>
      <w:r>
        <w:t xml:space="preserve">БЕСПИЛОТНЫЙ ЛЕТАТЕЛЬНЫЙ АППАРАТ, АГРОДРОН, GPS-ГЛУШЕНИЕ, GPS-СПУФИНГ, MAVLINK, МАРШРУТИЗАЦИЯ, CVRP, OR-TOOLS, VORONOI, КАРТА РИСКОВ, ПЕРЕПЛАНИРОВАНИЕ, FASTAPI, POSTGIS, ИНФОРМАЦИОННАЯ БЕЗОПАСНОСТЬ.</w:t>
      </w:r>
    </w:p>
    <w:p>
      <w:pPr>
        <w:pStyle w:val="BodyText"/>
      </w:pPr>
      <w:r>
        <w:t xml:space="preserve">В работе проведён анализ мирового и российского рынка агро-БПЛА; выполнен конкурентный анализ платформ управления дронами; построена детализированная модель угроз информационной безопасности с привязкой к реестру БДУ ФСТЭК России; формализована метрика оценки деструктивного воздействия R(x,y) и интегральный критерий надёжности миссии (IRM). Спроектирована и реализована в виде MVP трёхуровневая архитектура SaaS-платформы SafeAgriRoute. Разработан алгоритм Risk-Weighted Voronoi Decomposition и CVRP-планировщик на Google OR-Tools с системой штрафов за пролёт через зоны РЭБ. Реализован алгоритм динамического перепланирования миссии (≤ 500 мс). Проведены сравнительные эксперименты трёх сценариев относительно базовой стратегии «змейка».</w:t>
      </w:r>
    </w:p>
    <w:bookmarkEnd w:id="32"/>
    <w:bookmarkStart w:id="34" w:name="введение"/>
    <w:p>
      <w:pPr>
        <w:pStyle w:val="2"/>
      </w:pPr>
      <w:r>
        <w:t xml:space="preserve">ВВЕДЕНИЕ</w:t>
      </w:r>
    </w:p>
    <w:p>
      <w:pPr>
        <w:pStyle w:val="FirstParagraph"/>
      </w:pPr>
      <w:r>
        <w:t xml:space="preserve">Цифровизация агропромышленного комплекса (АПК) является одним из стратегических приоритетов современной экономики. В рамках парадигмы «точного земледелия» беспилотные летательные аппараты (БПЛА) превратились в ключевой инструмент мониторинга посевов, аэрофотосъёмки и прецизионного внесения агрохимикатов; современные обзоры подчёркивают, что агродроны уже применяются как для дистанционного зондирования, так и для точечного внесения средств защиты растений [37, 39, 42]. По данным MarketsandMarkets, мировой рынок агро-дронов составлял около 2,63 млрд долл. США в 2025 году и прогнозируется к росту до 10,76 млрд долл. к 2030 году при среднегодовом темпе роста 32,6 % [1]. Схожие тенденции фиксируют Fortune Business Insights: объём рынка в 2024 году оценивался в 6,10 млрд долл. при прогнозе роста до 23,78 млрд долл. к 2032 году (CAGR 18,5 %) [15]. Российский сегмент демонстрирует ежегодный рост не менее 20 %, что обусловлено государственными программами поддержки цифрового земледелия и уходом с рынка ряда зарубежных поставщиков агротехники.</w:t>
      </w:r>
    </w:p>
    <w:p>
      <w:pPr>
        <w:pStyle w:val="BodyText"/>
      </w:pPr>
      <w:r>
        <w:t xml:space="preserve">Интеграция БПЛА в ИТ-инфраструктуру агропредприятий принципиально меняет поверхность кибератак. Беспилотный аппарат представляет собой киберфизическую систему (КФС), в которой программные уязвимости непосредственно трансформируются в физические последствия: несанкционированное управление химической нагрузкой, отклонение от маршрута или полная потеря аппарата. Исследования в области безопасности БПЛА фиксируют уязвимости на всех уровнях — аппаратном, программном, протокольном и сенсорном [16, 38]. Особую озабоченность вызывает протокол MAVLink, де-факто являющийся стандартом связи между дроном и наземной станцией управления (НСУ): в базовой конфигурации он не обеспечивает ни шифрования данных, ни аутентификации источника сообщений [3]. Атаки на навигационные подсистемы — GPS/ГЛОНАСС-глушение и спуфинг — получили значительное распространение в академических исследованиях и реальных инцидентах [10].</w:t>
      </w:r>
    </w:p>
    <w:p>
      <w:pPr>
        <w:pStyle w:val="BodyText"/>
      </w:pPr>
      <w:r>
        <w:t xml:space="preserve">Актуальность темы усиливается ужесточением требований регуляторов в области информационной безопасности. Указ Президента Российской Федерации от 01.05.2022 № 250 [6] возложил персональную ответственность руководителей организаций за состояние защиты информации, а Указ Президента Российской Федерации от 30.03.2022 № 166 [34] закрепил курс на технологическую независимость и безопасность значимых объектов критической информационной инфраструктуры. ФСТЭК России в «Методике оценки угроз безопасности информации» (2021 г.) [20] установила единую обязательную методологию построения моделей угроз для государственных и критически важных информационных систем. Агропредприятия, выполняющие химическую обработку угодий с применением БПЛА, фактически управляют потенциально опасным технологическим объектом, что ставит вопрос об их соответствии требованиям к защите АСУ ТП.</w:t>
      </w:r>
    </w:p>
    <w:p>
      <w:pPr>
        <w:pStyle w:val="BodyText"/>
      </w:pPr>
      <w:r>
        <w:t xml:space="preserve">Существующие коммерческие платформы управления агро-БПЛА — DJI FlightHub 2, DroneDeploy, Pix4Dfields — не решают задачу планирования маршрутов с учётом динамически изменяющейся киберугрозовой обстановки. Современные обзоры по БПЛА в точном земледелии подробно рассматривают сенсоры, связь, ИИ и энергоэффективность, но не закрывают прикладной сценарий автоматического перепланирования при появлении новой зоны радиоэлектронного подавления или потере отдельного дрона [42]. Таким образом, отсутствие комплексного подхода к обеспечению информационной безопасности агро-БПЛА при очевидной критичности последствий инцидентов формирует актуальную научно-практическую проблему, решению которой посвящена настоящая выпускная квалификационная работа студента (ВКРС).</w:t>
      </w:r>
    </w:p>
    <w:p>
      <w:pPr>
        <w:pStyle w:val="BodyText"/>
      </w:pPr>
      <w:r>
        <w:rPr>
          <w:bCs/>
          <w:b/>
        </w:rPr>
        <w:t xml:space="preserve">Объект исследования</w:t>
      </w:r>
      <w:r>
        <w:t xml:space="preserve"> </w:t>
      </w:r>
      <w:r>
        <w:t xml:space="preserve">— информационная безопасность киберфизической инфраструктуры агропромышленного предприятия, эксплуатирующего парк беспилотных летательных аппаратов для задач точного земледелия.</w:t>
      </w:r>
    </w:p>
    <w:p>
      <w:pPr>
        <w:pStyle w:val="BodyText"/>
      </w:pPr>
      <w:r>
        <w:rPr>
          <w:bCs/>
          <w:b/>
        </w:rPr>
        <w:t xml:space="preserve">Предмет исследования</w:t>
      </w:r>
      <w:r>
        <w:t xml:space="preserve"> </w:t>
      </w:r>
      <w:r>
        <w:t xml:space="preserve">— угрозы доступности и навигационной целостности БПЛА, методы их систематизации и оценки, алгоритмы безопасной маршрутизации группы БПЛА и критерии оценки надёжности миссии.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разработка программной платформы автоматизированного планирования безопасных маршрутов для группы сельскохозяйственных БПЛА с учётом зон радиоэлектронного подавления, включающей модуль риск-ориентированной маршрутизации, механизм динамического перепланирования и эвристический контур обнаружения угроз по телеметрии MAVLink.</w:t>
      </w:r>
    </w:p>
    <w:p>
      <w:pPr>
        <w:pStyle w:val="BodyText"/>
      </w:pPr>
      <w:r>
        <w:t xml:space="preserve">Для достижения поставленной цели решаются следующие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Провести анализ рынка агро-дронов и обосновать целевой сегмент потребителей платформы SafeAgriRoute.</w:t>
      </w:r>
    </w:p>
    <w:p>
      <w:pPr>
        <w:numPr>
          <w:ilvl w:val="0"/>
          <w:numId w:val="1003"/>
        </w:numPr>
        <w:pStyle w:val="Compact"/>
      </w:pPr>
      <w:r>
        <w:t xml:space="preserve">Выполнить конкурентный анализ существующих решений (DJI FlightHub 2, DroneDeploy, Pix4Dfields) и определить технологическую нишу предлагаемого продукта.</w:t>
      </w:r>
    </w:p>
    <w:p>
      <w:pPr>
        <w:numPr>
          <w:ilvl w:val="0"/>
          <w:numId w:val="1003"/>
        </w:numPr>
        <w:pStyle w:val="Compact"/>
      </w:pPr>
      <w:r>
        <w:t xml:space="preserve">Классифицировать нарушителей и систематизировать угрозы безопасности навигации и доступности БПЛА на основе Банка данных угроз ФСТЭК России.</w:t>
      </w:r>
    </w:p>
    <w:p>
      <w:pPr>
        <w:numPr>
          <w:ilvl w:val="0"/>
          <w:numId w:val="1003"/>
        </w:numPr>
        <w:pStyle w:val="Compact"/>
      </w:pPr>
      <w:r>
        <w:t xml:space="preserve">Формализовать метрику оценки деструктивного воздействия R(x,y) и обосновать выбор приоритетных угроз для MVP.</w:t>
      </w:r>
    </w:p>
    <w:p>
      <w:pPr>
        <w:numPr>
          <w:ilvl w:val="0"/>
          <w:numId w:val="1003"/>
        </w:numPr>
        <w:pStyle w:val="Compact"/>
      </w:pPr>
      <w:r>
        <w:t xml:space="preserve">Спроектировать архитектуру SaaS-платформы SafeAgriRoute: модели данных, REST API, WebSocket-контур телеметрии и MAVLink-интеграцию.</w:t>
      </w:r>
    </w:p>
    <w:p>
      <w:pPr>
        <w:numPr>
          <w:ilvl w:val="0"/>
          <w:numId w:val="1003"/>
        </w:numPr>
        <w:pStyle w:val="Compact"/>
      </w:pPr>
      <w:r>
        <w:t xml:space="preserve">Разработать алгоритм Risk-Weighted Voronoi Decomposition и CVRP-планировщик на базе Google OR-Tools с системой штрафов за пролёт через зоны РЭБ.</w:t>
      </w:r>
    </w:p>
    <w:p>
      <w:pPr>
        <w:numPr>
          <w:ilvl w:val="0"/>
          <w:numId w:val="1003"/>
        </w:numPr>
        <w:pStyle w:val="Compact"/>
      </w:pPr>
      <w:r>
        <w:t xml:space="preserve">Реализовать алгоритм динамического перепланирования миссии при потере дрона и при появлении новой зоны РЭБ.</w:t>
      </w:r>
    </w:p>
    <w:p>
      <w:pPr>
        <w:numPr>
          <w:ilvl w:val="0"/>
          <w:numId w:val="1003"/>
        </w:numPr>
        <w:pStyle w:val="Compact"/>
      </w:pPr>
      <w:r>
        <w:t xml:space="preserve">Провести сравнительный эксперимент и оценить эффективность предлагаемого подхода относительно базовой стратегии маршрутизации.</w:t>
      </w:r>
    </w:p>
    <w:p>
      <w:pPr>
        <w:pStyle w:val="FirstParagraph"/>
      </w:pPr>
      <w:r>
        <w:rPr>
          <w:bCs/>
          <w:b/>
        </w:rPr>
        <w:t xml:space="preserve">Научная новизна</w:t>
      </w:r>
      <w:r>
        <w:t xml:space="preserve"> </w:t>
      </w:r>
      <w:r>
        <w:t xml:space="preserve">работы состоит в следующем. Во-первых, разработана детализированная модель угроз для гетерогенных групп агро-БПЛА, включающая полный охват векторов атак на навигацию (GPS/ГЛОНАСС Jamming/Spoofing) и каналы управления (MAVLink), с привязкой к реестру БДУ ФСТЭК России. Во-вторых, предложен алгоритм Risk-Weighted Voronoi Decomposition, объединяющий пространственное разбиение зоны покрытия с риск-ориентированной балансировкой нагрузки между дронами роя. В-третьих, разработан интегральный критерий надёжности миссии (IRM), учитывающий риски всех запланированных точек маршрута, и механизм его обновления при динамическом перепланировании в режиме реального времени.</w:t>
      </w:r>
    </w:p>
    <w:p>
      <w:pPr>
        <w:pStyle w:val="BodyText"/>
      </w:pPr>
      <w:r>
        <w:rPr>
          <w:bCs/>
          <w:b/>
        </w:rPr>
        <w:t xml:space="preserve">Практическая значимость</w:t>
      </w:r>
      <w:r>
        <w:t xml:space="preserve"> </w:t>
      </w:r>
      <w:r>
        <w:t xml:space="preserve">определяется тем, что разработанная платформа SafeAgriRoute реализована в виде полнофункционального MVP, развёртываемого одной командой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Исходный код опубликован в открытом доступе по адресу</w:t>
      </w:r>
      <w:r>
        <w:t xml:space="preserve"> </w:t>
      </w:r>
      <w:hyperlink ns1:id="rId33">
        <w:r>
          <w:rPr>
            <w:rStyle w:val="a5"/>
          </w:rPr>
          <w:t xml:space="preserve">https://github.com/matveisut/safe-agri-route</w:t>
        </w:r>
      </w:hyperlink>
      <w:r>
        <w:t xml:space="preserve">. Система обеспечивает планирование маршрутов для поля площадью 500 га за ≤ 5 секунд и перепланирование в режиме реального времени за ≤ 500 миллисекунд для 4 дронов. Платформа протестирована посредством симуляции ArduPilot SITL и автономных Python-сценариев на модельном поле с параметрами типичного среднего агропредприятия.</w:t>
      </w:r>
    </w:p>
    <w:p>
      <w:pPr>
        <w:pStyle w:val="BodyText"/>
      </w:pPr>
      <w:r>
        <w:t xml:space="preserve">Методологическую основу составляют: системный анализ, структурно-функциональное моделирование, Методика оценки угроз ФСТЭК России (2021 г.), ГОСТ Р МЭК 62443-2-1-2015, математические методы оптимизации комбинаторных задач (VRP, алгоритм Ллойда, эвристики OR-Tools), а также результаты научных публикаций из баз данных IEEE Xplore, Elsevier Computer Networks, Frontiers in Computer Science, IEEE Access, Aerospace и КиберЛенинка.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ВКРС состоит из введения, пяти разделов, заключения, списка использованных источников (43 наименования, из них 19 на иностранном языке). Введение обосновывает актуальность, формулирует цель, задачи и научную новизну. В разделе 1.1 проводится анализ рынка и конкурентной среды. В разделе 1.2 выполняется моделирование угроз и формализация метрики риска. В разделе 1.3 описывается архитектура платформы. В разделе 1.4 детально изложены разработанные алгоритмы. В разделе 1.5 представлены результаты экспериментальной оценки. Заключение суммирует достигнутые результаты и обозначает перспективы.</w:t>
      </w:r>
    </w:p>
    <w:bookmarkEnd w:id="34"/>
    <w:bookmarkStart w:id="92" w:name="общее-описание-проекта"/>
    <w:p>
      <w:pPr>
        <w:pStyle w:val="2"/>
      </w:pPr>
      <w:r>
        <w:t xml:space="preserve">1 ОБЩЕЕ ОПИСАНИЕ ПРОЕКТА</w:t>
      </w:r>
    </w:p>
    <w:bookmarkStart w:id="44" w:name="X282382dc0d5bbc07c0eb696d4b48e62b8fcb90f"/>
    <w:p>
      <w:pPr>
        <w:pStyle w:val="3"/>
      </w:pPr>
      <w:r>
        <w:t xml:space="preserve">1.1 Анализ рынка агро-дронов и конкурентная среда</w:t>
      </w:r>
    </w:p>
    <w:bookmarkStart w:id="35" w:name="прогноз-роста-мирового-рынка-агро-дронов"/>
    <w:p>
      <w:pPr>
        <w:pStyle w:val="4"/>
      </w:pPr>
      <w:r>
        <w:t xml:space="preserve">1.1.1 Прогноз роста мирового рынка агро-дронов</w:t>
      </w:r>
    </w:p>
    <w:p>
      <w:pPr>
        <w:pStyle w:val="FirstParagraph"/>
      </w:pPr>
      <w:r>
        <w:t xml:space="preserve">Рынок беспилотных летательных аппаратов для агропромышленного комплекса является одним из наиболее динамично развивающихся сегментов глобальной агротехнологической индустрии. По оценке MarketsandMarkets, объём рынка агро-дронов составил около 2,63 млрд долл. США в 2025 году и при CAGR 32,6 % достигнет 10,76 млрд долл. к 2030 году [1]. Данные Fortune Business Insights несколько расходятся по базовому году, но подтверждают общий тренд: рынок вырастет с 6,10 млрд долл. (2024 г.) до 23,78 млрд долл. к 2032 году [15]. MRFR даёт более агрессивный прогноз — 70,58 млрд долл. к 2035 году при CAGR 24,46 %. Столь значительный разброс оценок обусловлен различиями в методологии — часть агентств включает в расчёт только аппаратную составляющую, другие охватывают весь стек «дрон + ПО + услуги». Тем не менее ни одна из аналитических компаний не прогнозирует CAGR ниже 18 %, что делает рынок агро-БПЛА одним из устойчивых долгосрочных трендов в агротехе.</w:t>
      </w:r>
    </w:p>
    <w:p>
      <w:pPr>
        <w:pStyle w:val="BodyText"/>
      </w:pPr>
      <w:r>
        <w:rPr>
          <w:bCs/>
          <w:b/>
        </w:rPr>
        <w:t xml:space="preserve">Таблица 1.1 — Прогнозы мирового рынка агро-дронов от ведущих аналитических агентств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Агентство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Базовый год / объём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Целевой год / прогноз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CAGR,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MarketsandMarkets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2,63 млрд долл. (2025)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10,76 млрд долл. к 2030 г.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32,6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Fortune Business Insights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6,10 млрд долл. (2024)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23,78 млрд долл. к 2032 г.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18,5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Grand View Research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3,37 млрд долл. (2025)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21,59 млрд долл. к 2033 г.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26,5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MRFR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7,91 млрд долл. (2025)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70,58 млрд долл. к 2035 г.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24,5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IMARC Group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2,71 млрд долл. (2024)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31,88 млрд долл. к 2033 г.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28,0</w:t>
            </w:r>
          </w:p>
        </w:tc>
      </w:tr>
    </w:tbl>
    <w:p>
      <w:pPr>
        <w:pStyle w:val="BodyText"/>
      </w:pPr>
      <w:r>
        <w:t xml:space="preserve">Географически рынок агро-дронов концентрируется в трёх полюсах. Северная Америка занимает лидирующую позицию с долей 33,2–45 % в зависимости от источника, опираясь на развитую нормативную базу FAA и высокий уровень государственной поддержки точного земледелия [1]. Азиатско-Тихоокеанский регион является наиболее быстрорастущим: Китай занимает первое место в мире по числу зарегистрированных агро-дронов, а компания XAG Co. Ltd входит в топ-5 мировых производителей по объёму продаж. Европа сохраняет долю около 30 % благодаря активному субсидированию агроинноваций в рамках программ Общей сельскохозяйственной политики ЕС. Российский сегмент, по экспертным оценкам, растёт темпом не менее 20 % в год в условиях государственных программ импортозамещения и субсидирования закупки отечественной агротехники.</w:t>
      </w:r>
    </w:p>
    <w:p>
      <w:pPr>
        <w:pStyle w:val="BodyText"/>
      </w:pPr>
      <w:r>
        <w:t xml:space="preserve">Доминирующим типом аппаратов является роторный БПЛА (мультикоптер) — его доля в 2025 году составляла 43,7–61,7 % в зависимости от методологии подсчёта [1]. Мультикоптеры превосходят самолётные схемы по манёвренности и способности зависать над точечными зонами обработки, что критически важно для дифференцированного внесения агрохимикатов на основе карт NDVI (Normalized Difference Vegetation Index), формируемых по результатам мультиспектральной аэрофотосъёмки. Основные сегменты применения: точное земледелие (34,7 % выручки в 2025 г.), картографирование и мониторинг посевов, управление ирригацией.</w:t>
      </w:r>
    </w:p>
    <w:p>
      <w:pPr>
        <w:pStyle w:val="BodyText"/>
      </w:pPr>
      <w:r>
        <w:t xml:space="preserve">Применение БПЛА позволяет снизить расход агрохимикатов на 30–40 % по сравнению с традиционными методами опрыскивания наземной техникой [4]. Это достигается за счёт прецизионной дозировки на основе карт NDVI, обеспечивающих дифференцированное внесение в зависимости от фактических показателей состояния посевов. Кроме того, БПЛА обеспечивают обработку труднодоступных участков с уклоном, сокращают уплотнение почвы и снижают трудозатраты оператора на 60–70 % по сравнению с ручным опрыскиванием.</w:t>
      </w:r>
    </w:p>
    <w:bookmarkEnd w:id="35"/>
    <w:bookmarkStart w:id="36" w:name="Xc0f1561d856e17e4c2f743eeaa746bf6346755a"/>
    <w:p>
      <w:pPr>
        <w:pStyle w:val="4"/>
      </w:pPr>
      <w:r>
        <w:t xml:space="preserve">1.1.2 Целевая аудитория и профиль типового потребителя</w:t>
      </w:r>
    </w:p>
    <w:p>
      <w:pPr>
        <w:pStyle w:val="FirstParagraph"/>
      </w:pPr>
      <w:r>
        <w:t xml:space="preserve">Платформа SafeAgriRoute ориентирована на агропредприятия среднего масштаба с площадью угодий 5 000–15 000 га и парком из 3–8 мультикоптеров грузоподъёмностью 10–20 кг. Именно этот сегмент является «золотой серединой»: крупные холдинги (свыше 50 000 га) формируют собственные ИТ-подразделения и внедряют корпоративные ERP-платформы, тогда как хозяйства площадью менее 1 000 га не достигают экономического порога окупаемости парка дронов при капитальных затратах на один мультикоптер-опрыскиватель от 900 000 до 2 500 000 рублей.</w:t>
      </w:r>
    </w:p>
    <w:p>
      <w:pPr>
        <w:pStyle w:val="BodyText"/>
      </w:pPr>
      <w:r>
        <w:t xml:space="preserve">Профиль типового потребителя SafeAgriRoute включает: технического директора или главного агронома в роли лица, принимающего решение о закупке; трёх-пяти операторов БПЛА в качестве ключевых пользователей системы; ИТ-специалиста, совмещающего функции системного администратора и ответственного за информационную безопасность. Принципиально важно, что выбранный сегмент не располагает ресурсами для самостоятельной разработки и поддержки сложных ИБ-решений, что создаёт устойчивый спрос на облачные SaaS-платформы с встроенными функциями защиты.</w:t>
      </w:r>
    </w:p>
    <w:p>
      <w:pPr>
        <w:pStyle w:val="BodyText"/>
      </w:pPr>
      <w:r>
        <w:t xml:space="preserve">Анализ болевых точек целевой аудитории позволяет выделить три ключевых «gap» существующих решений.</w:t>
      </w:r>
      <w:r>
        <w:t xml:space="preserve"> </w:t>
      </w:r>
      <w:r>
        <w:rPr>
          <w:bCs/>
          <w:b/>
        </w:rPr>
        <w:t xml:space="preserve">Первый</w:t>
      </w:r>
      <w:r>
        <w:t xml:space="preserve"> </w:t>
      </w:r>
      <w:r>
        <w:t xml:space="preserve">— отсутствие специализированных инструментов планирования маршрутов с учётом зон радиоэлектронного воздействия (РЭБ), что критично для регионов с нестабильной радиоэлектронной обстановкой; по данным ряда экспертов, случаи кратковременного глушения сигнала ГНСС в приграничных зонах фиксируются на юге России регулярно.</w:t>
      </w:r>
      <w:r>
        <w:t xml:space="preserve"> </w:t>
      </w:r>
      <w:r>
        <w:rPr>
          <w:bCs/>
          <w:b/>
        </w:rPr>
        <w:t xml:space="preserve">Второй</w:t>
      </w:r>
      <w:r>
        <w:t xml:space="preserve"> </w:t>
      </w:r>
      <w:r>
        <w:t xml:space="preserve">— невозможность автоматического перераспределения рабочей нагрузки между дронами при выходе из строя одного из аппаратов: операторы вынуждены останавливать всю миссию и перепланировать маршруты вручную.</w:t>
      </w:r>
      <w:r>
        <w:t xml:space="preserve"> </w:t>
      </w:r>
      <w:r>
        <w:rPr>
          <w:bCs/>
          <w:b/>
        </w:rPr>
        <w:t xml:space="preserve">Третий</w:t>
      </w:r>
      <w:r>
        <w:t xml:space="preserve"> </w:t>
      </w:r>
      <w:r>
        <w:t xml:space="preserve">— слабое соответствие существующих зарубежных платформ требованиям ФСТЭК России и Указу № 250 [6], что фактически исключает их использование на предприятиях, подпадающих под сферу действия этих нормативных актов.</w:t>
      </w:r>
    </w:p>
    <w:bookmarkEnd w:id="36"/>
    <w:bookmarkStart w:id="37" w:name="X4b01a2e7dc70f9cb1abd71bb103b0fce22b000d"/>
    <w:p>
      <w:pPr>
        <w:pStyle w:val="4"/>
      </w:pPr>
      <w:r>
        <w:t xml:space="preserve">1.1.3 Конкурентный анализ существующих платформ управления агро-БПЛА</w:t>
      </w:r>
    </w:p>
    <w:p>
      <w:pPr>
        <w:pStyle w:val="FirstParagraph"/>
      </w:pPr>
      <w:r>
        <w:t xml:space="preserve">Рынок программных платформ для управления агро-БПЛА к 2025 году характеризуется умеренной фрагментацией с тенденцией к консолидации [19]. Основными игроками являются DJI FlightHub 2, DroneDeploy, Pix4Dfields, Trimble AgData и ряд региональных разработчиков.</w:t>
      </w:r>
    </w:p>
    <w:p>
      <w:pPr>
        <w:pStyle w:val="BodyText"/>
      </w:pPr>
      <w:r>
        <w:rPr>
          <w:bCs/>
          <w:b/>
        </w:rPr>
        <w:t xml:space="preserve">DJI FlightHub 2</w:t>
      </w:r>
      <w:r>
        <w:t xml:space="preserve"> </w:t>
      </w:r>
      <w:r>
        <w:t xml:space="preserve">— облачная платформа управления парком дронов, нативно интегрированная с аппаратной экосистемой DJI (Agras T50, T25, Matrice 30/4). Платформа обеспечивает планирование миссий, мониторинг телеметрии в реальном времени, хранение аэрофотоданных и удалённое управление через REST API [19]. Основное ограничение — жёсткая привязка к экосистеме DJI: аппараты других производителей (XAG, отечественный «Агромастер») интегрируются лишь частично или не поддерживаются вовсе. Функции кибербезопасности сведены к стандартным ACL и шифрованию REST-трафика; механизмы обнаружения аномалий навигации и защиты открытого канала MAVLink отсутствуют. Планирование маршрутов осуществляется по простой зональной схеме без учёта зон РЭБ.</w:t>
      </w:r>
    </w:p>
    <w:p>
      <w:pPr>
        <w:pStyle w:val="BodyText"/>
      </w:pPr>
      <w:r>
        <w:rPr>
          <w:bCs/>
          <w:b/>
        </w:rPr>
        <w:t xml:space="preserve">DroneDeploy</w:t>
      </w:r>
      <w:r>
        <w:t xml:space="preserve"> </w:t>
      </w:r>
      <w:r>
        <w:t xml:space="preserve">— горизонтальная платформа, охватывающая строительство, энергетику и сельское хозяйство. В агросегменте позиционируется как инструмент создания ортофотопланов и карт NDVI с последующим формированием предписаний для дифференцированного внесения. В январе 2025 года DroneDeploy получил общенациональное разрешение на BVLOS-полёты в США [19]. Основные недостатки: высокая стоимость (корпоративные планы — от 329 долл./мес.), отсутствие поддержки MAVLink и отсутствие ИБ-функций, специфичных для российского законодательства.</w:t>
      </w:r>
    </w:p>
    <w:p>
      <w:pPr>
        <w:pStyle w:val="BodyText"/>
      </w:pPr>
      <w:r>
        <w:rPr>
          <w:bCs/>
          <w:b/>
        </w:rPr>
        <w:t xml:space="preserve">Pix4Dfields</w:t>
      </w:r>
      <w:r>
        <w:t xml:space="preserve"> </w:t>
      </w:r>
      <w:r>
        <w:t xml:space="preserve">— специализированный продукт для агрономической аналитики. Обеспечивает быструю обработку снимков непосредственно в поле (on-device), генерацию карт NDVI/NDRE и prescription maps для дифференцированного внесения. Не позиционируется как платформа управления парком: функции планирования полётных заданий ограничены, поддержки нескольких одновременно летящих дронов нет, управление миссией в реальном времени отсутствует.</w:t>
      </w:r>
    </w:p>
    <w:p>
      <w:pPr>
        <w:pStyle w:val="BodyText"/>
      </w:pPr>
      <w:r>
        <w:rPr>
          <w:bCs/>
          <w:b/>
        </w:rPr>
        <w:t xml:space="preserve">Таблица 1.2 — Конкурентное сравнение ведущих платформ управления агро-БПЛА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DJI FlightHub 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DroneDeploy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Pix4Dfields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SafeAgriRoute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Поддержка мультивендорного парка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Только DJI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Частичная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Ограниченная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Полная (MAVLink)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Управление химической нагрузкой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DJI-нативно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Да, с аудитом команд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Учёт зон РЭБ при планировании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(Penalty-граф)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Автоматическое перепланирование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(≤ 500 мс)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Обнаружение GPS-спуфинга/глушения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Эвристика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Соответствие Методике ФСТЭК 2021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Частично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(модель угроз встроена)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Ценовая модель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 16 долл./мес./дрон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 329 долл./мес.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 83 долл./мес.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 8 000 руб./мес.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Поддержка ArduPilot/PX4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(pymavlink)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Открытый исходный код ядра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(OR-Tools, PostGIS)</w:t>
            </w:r>
          </w:p>
        </w:tc>
      </w:tr>
    </w:tbl>
    <w:p>
      <w:pPr>
        <w:pStyle w:val="BodyText"/>
      </w:pPr>
      <w:r>
        <w:t xml:space="preserve">Конкурентный анализ подтверждает наличие устойчивого технологического «gap»: ни одна из рассмотренных платформ не предоставляет функцию планирования маршрутов с учётом зон РЭБ, не реализует автоматического перепланирования при динамическом изменении обстановки и не адаптирована к российской нормативной базе в области ИБ. Именно в этом пространстве позиционируется SafeAgriRoute.</w:t>
      </w:r>
    </w:p>
    <w:bookmarkEnd w:id="37"/>
    <w:bookmarkStart w:id="38" w:name="swot-анализ-safeagriroute"/>
    <w:p>
      <w:pPr>
        <w:pStyle w:val="4"/>
      </w:pPr>
      <w:r>
        <w:t xml:space="preserve">1.1.4 SWOT-анализ SafeAgriRoute</w:t>
      </w:r>
    </w:p>
    <w:p>
      <w:pPr>
        <w:pStyle w:val="FirstParagraph"/>
      </w:pPr>
      <w:r>
        <w:rPr>
          <w:bCs/>
          <w:b/>
        </w:rPr>
        <w:t xml:space="preserve">Таблица 1.2а — SWOT-анализ платформы SafeAgriRoute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Сильные стороны (S)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Слабые стороны (W)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Внутренние факторы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• Нулевой FPR по пересечениям jammer-зон</w:t>
            </w:r>
            <w:r>
              <w:t xml:space="preserve">• Единственная на рынке РФ risk-aware маршрутизация</w:t>
            </w:r>
            <w:r>
              <w:t xml:space="preserve">• Open-source ядро (OR-Tools, PostGIS) — нет лицензионных платежей</w:t>
            </w:r>
            <w:r>
              <w:t xml:space="preserve">• Развёртывание одной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docker-compose up</w:t>
            </w:r>
            <w:r>
              <w:t xml:space="preserve">• Соответствие Методике ФСТЭК 2021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• MVP: только эвристический контур без ML-модели угроз</w:t>
            </w:r>
            <w:r>
              <w:t xml:space="preserve">• Отсутствие мобильного приложения</w:t>
            </w:r>
            <w:r>
              <w:t xml:space="preserve">• Ограничение на 4 одновременных дрона в текущей версии</w:t>
            </w:r>
            <w:r>
              <w:t xml:space="preserve">• Нет сертификации ФСТЭК (требует времени и ресурсов)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Внешние факторы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Возможности (O)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Угрозы (T)</w:t>
            </w:r>
          </w:p>
        </w:tc>
      </w:tr>
      <w:tr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• Рост рынка агро-БПЛА в РФ ≥ 20 % в год</w:t>
            </w:r>
            <w:r>
              <w:t xml:space="preserve">• Уход DJI с ряда сегментов — открытая ниша</w:t>
            </w:r>
            <w:r>
              <w:t xml:space="preserve">• Государственные субсидии (до 50 % стоимости ПО)</w:t>
            </w:r>
            <w:r>
              <w:t xml:space="preserve">• Ужесточение требований регуляторов (Указ № 250) стимулирует спрос на ИБ-платформы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• Возможный выход глобальных игроков (DJI FlightHub) на российскую нормативную базу</w:t>
            </w:r>
            <w:r>
              <w:t xml:space="preserve">• Риск форк open-source ядра конкурентами</w:t>
            </w:r>
            <w:r>
              <w:t xml:space="preserve">• Длительный цикл принятия решений в АПК (12–18 мес.)</w:t>
            </w:r>
            <w:r>
              <w:t xml:space="preserve">• Зависимость от ArduPilot/PX4 как платформы</w:t>
            </w:r>
          </w:p>
        </w:tc>
      </w:tr>
    </w:tbl>
    <w:p>
      <w:pPr>
        <w:pStyle w:val="BodyText"/>
      </w:pPr>
      <w:r>
        <w:t xml:space="preserve">Анализ SWOT показывает, что ключевое конкурентное преимущество SafeAgriRoute — технологическая уникальность risk-aware маршрутизации при отсутствии прямых аналогов на российском рынке — устойчиво в краткосрочной перспективе. Наиболее критичная угроза — длинный цикл принятия решений в АПК — нивелируется стратегией партнёрства с региональными дистрибьюторами агротехники.</w:t>
      </w:r>
    </w:p>
    <w:bookmarkEnd w:id="38"/>
    <w:bookmarkStart w:id="39" w:name="X0c9090971ad32733170e66ad1aa7f93afc47958"/>
    <w:p>
      <w:pPr>
        <w:pStyle w:val="4"/>
      </w:pPr>
      <w:r>
        <w:t xml:space="preserve">1.1.5 Позиционирование SafeAgriRoute и бизнес-модель</w:t>
      </w:r>
    </w:p>
    <w:p>
      <w:pPr>
        <w:pStyle w:val="FirstParagraph"/>
      </w:pPr>
      <w:r>
        <w:t xml:space="preserve">SafeAgriRoute — специализированная SaaS-платформа класса «безопасное управление агро-БПЛА», разработанная для российского рынка с учётом требований ФСТЭК России и Указа № 250 [6]. Ключевое дифференцирующее свойство — встроенная функция risk-aware маршрутизации, которая превентивно исключает полёт дронов через зоны радиоэлектронного подавления и автоматически перепланирует маршруты при изменении обстановки. Ценностное предложение платформы охватывает три измерения:</w:t>
      </w:r>
      <w:r>
        <w:t xml:space="preserve"> </w:t>
      </w:r>
      <w:r>
        <w:rPr>
          <w:bCs/>
          <w:b/>
        </w:rPr>
        <w:t xml:space="preserve">безопасность</w:t>
      </w:r>
      <w:r>
        <w:t xml:space="preserve"> </w:t>
      </w:r>
      <w:r>
        <w:t xml:space="preserve">(защита от навигационных и протокольных атак),</w:t>
      </w:r>
      <w:r>
        <w:t xml:space="preserve"> </w:t>
      </w:r>
      <w:r>
        <w:rPr>
          <w:bCs/>
          <w:b/>
        </w:rPr>
        <w:t xml:space="preserve">эффективность</w:t>
      </w:r>
      <w:r>
        <w:t xml:space="preserve"> </w:t>
      </w:r>
      <w:r>
        <w:t xml:space="preserve">(максимальное покрытие поля при минимальных суммарных длинах маршрутов) и</w:t>
      </w:r>
      <w:r>
        <w:t xml:space="preserve"> </w:t>
      </w:r>
      <w:r>
        <w:rPr>
          <w:bCs/>
          <w:b/>
        </w:rPr>
        <w:t xml:space="preserve">соответствие требованиям</w:t>
      </w:r>
      <w:r>
        <w:t xml:space="preserve"> </w:t>
      </w:r>
      <w:r>
        <w:t xml:space="preserve">(ФСТЭК, Указ № 250).</w:t>
      </w:r>
    </w:p>
    <w:p>
      <w:pPr>
        <w:pStyle w:val="BodyText"/>
      </w:pPr>
      <w:r>
        <w:t xml:space="preserve">Архитектура платформы реализована по трёхуровневой модели.</w:t>
      </w:r>
      <w:r>
        <w:t xml:space="preserve"> </w:t>
      </w:r>
      <w:r>
        <w:rPr>
          <w:bCs/>
          <w:b/>
        </w:rPr>
        <w:t xml:space="preserve">Бортовой агент (Onboard Agent)</w:t>
      </w:r>
      <w:r>
        <w:t xml:space="preserve"> </w:t>
      </w:r>
      <w:r>
        <w:t xml:space="preserve">— облегчённый программный модуль, встраиваемый в прошивку ArduPilot и реализующий активацию подписи пакетов MAVLink v2.0, формирование телеметрических сообщений с меткой доверенности и первичный детектор аномалий навигации.</w:t>
      </w:r>
      <w:r>
        <w:t xml:space="preserve"> </w:t>
      </w:r>
      <w:r>
        <w:rPr>
          <w:bCs/>
          <w:b/>
        </w:rPr>
        <w:t xml:space="preserve">Граничный узел (Edge Node)</w:t>
      </w:r>
      <w:r>
        <w:t xml:space="preserve"> </w:t>
      </w:r>
      <w:r>
        <w:t xml:space="preserve">— промышленный одноплатный компьютер на НСУ, обеспечивающий локальную обработку телеметрии и кэширование полётных заданий при потере связи с облаком.</w:t>
      </w:r>
      <w:r>
        <w:t xml:space="preserve"> </w:t>
      </w:r>
      <w:r>
        <w:rPr>
          <w:bCs/>
          <w:b/>
        </w:rPr>
        <w:t xml:space="preserve">Облачная платформа (Cloud Core)</w:t>
      </w:r>
      <w:r>
        <w:t xml:space="preserve"> </w:t>
      </w:r>
      <w:r>
        <w:t xml:space="preserve">— SaaS на базе контейнерной инфраструктуры с модулями: диспетчер парка, риск-ориентированный планировщик маршрутов, API-шлюз, панель мониторинга ИБ.</w:t>
      </w:r>
    </w:p>
    <w:p>
      <w:pPr>
        <w:pStyle w:val="BodyText"/>
      </w:pPr>
      <w:r>
        <w:t xml:space="preserve">Бизнес-модель SafeAgriRoute построена на принципе SaaS + Professional Services.</w:t>
      </w:r>
    </w:p>
    <w:p>
      <w:pPr>
        <w:pStyle w:val="BodyText"/>
      </w:pPr>
      <w:r>
        <w:rPr>
          <w:bCs/>
          <w:b/>
        </w:rPr>
        <w:t xml:space="preserve">Таблица 1.3 — Тарифные планы SafeAgriRoute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Тариф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Число БПЛА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Цена, руб./мес.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Ключевые функции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Старт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 3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8 000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Диспетчер + базовая телеметрия + планирование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Бизнес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4–8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18 000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Эвристика угроз + MAVLink-интеграция + перепланирование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9–20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35 000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SIEM-интеграция + API + SLA 99,9 %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Корпоратив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Свыше 20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 договору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On-premise + аудит ИБ + СКЗИ</w:t>
            </w:r>
          </w:p>
        </w:tc>
      </w:tr>
    </w:tbl>
    <w:p>
      <w:pPr>
        <w:pStyle w:val="BodyText"/>
      </w:pPr>
      <w:r>
        <w:t xml:space="preserve">Юнит-экономика для базового клиента (6 дронов, тариф «Бизнес»): ARR — 216 000 руб./год. CAC (стоимость привлечения клиента) оценивается в 45 000 руб. при LTV 432 000 руб. за 24 мес. — соотношение LTV/CAC составляет 9,6, что соответствует показателям зрелого SaaS-бизнеса. Стратегия выхода на рынок предполагает три этапа: MVP для демо-партнёра в Ставропольском крае (2026), тиражирование в регионе СКФО (2027), федеральное масштабирование (2028–2029).</w:t>
      </w:r>
    </w:p>
    <w:bookmarkEnd w:id="39"/>
    <w:bookmarkStart w:id="40" w:name="tam-sam-som-и-финансовая-модель"/>
    <w:p>
      <w:pPr>
        <w:pStyle w:val="4"/>
      </w:pPr>
      <w:r>
        <w:t xml:space="preserve">1.1.6 TAM / SAM / SOM и финансовая модель</w:t>
      </w:r>
    </w:p>
    <w:p>
      <w:pPr>
        <w:pStyle w:val="FirstParagraph"/>
      </w:pPr>
      <w:r>
        <w:rPr>
          <w:bCs/>
          <w:b/>
        </w:rPr>
        <w:t xml:space="preserve">TAM (Total Addressable Market)</w:t>
      </w:r>
      <w:r>
        <w:t xml:space="preserve"> </w:t>
      </w:r>
      <w:r>
        <w:t xml:space="preserve">— совокупный адресуемый рынок ПО управления агро-БПЛА в России составляет, по оценкам, 2,1–2,8 млрд руб./год к 2027 году при ~8 000 эксплуатируемых агро-БПЛА и средней цене платформы 220 000 руб./год.</w:t>
      </w:r>
    </w:p>
    <w:p>
      <w:pPr>
        <w:pStyle w:val="BodyText"/>
      </w:pPr>
      <w:r>
        <w:rPr>
          <w:bCs/>
          <w:b/>
        </w:rPr>
        <w:t xml:space="preserve">SAM (Serviceable Addressable Market)</w:t>
      </w:r>
      <w:r>
        <w:t xml:space="preserve"> </w:t>
      </w:r>
      <w:r>
        <w:t xml:space="preserve">— агропредприятия площадью 5 000–50 000 га с парком 3–8 MAVLink-совместимых дронов в ЮФО и СКФО: ~1 850 хозяйств × 216 000 руб./год = ~400 млн руб./год.</w:t>
      </w:r>
    </w:p>
    <w:p>
      <w:pPr>
        <w:pStyle w:val="BodyText"/>
      </w:pPr>
      <w:r>
        <w:rPr>
          <w:bCs/>
          <w:b/>
        </w:rPr>
        <w:t xml:space="preserve">SOM (Serviceable Obtainable Market)</w:t>
      </w:r>
      <w:r>
        <w:t xml:space="preserve"> </w:t>
      </w:r>
      <w:r>
        <w:t xml:space="preserve">— при проникновении 5 % SAM за 3 года: 20 млн руб./год к 2029 г.; при выходе на 15 % SAM — 60 млн руб./год. Источник финансирования первого года: участие в конкурсе «Стартап как диплом», гранты Фонда содействия инновациям («Умник»), собственные средства команды.</w:t>
      </w:r>
    </w:p>
    <w:p>
      <w:pPr>
        <w:pStyle w:val="BodyText"/>
      </w:pPr>
      <w:r>
        <w:rPr>
          <w:bCs/>
          <w:b/>
        </w:rPr>
        <w:t xml:space="preserve">Таблица 1.3а — Финансовый прогноз SafeAgriRoute (тыс. руб.)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2026 (MVP)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2028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Число клиентов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ARR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648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5 400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18 000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COGS (хостинг, поддержка)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1 800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5 400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3 600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12 600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Gross Margin,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41 %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70 %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Операционные расходы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1 200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3 000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7 200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−932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+600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+5 400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Точка безубыточности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Q2 2027 (~12 клиентов)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Точка безубыточности достигается при ~12 клиентах на тарифе «Бизнес» (ARR ~2,6 млн руб.), покрывающих постоянные расходы на инфраструктуру и поддержку. Привлечение первых 3 клиентов (2026) обеспечивается партнёрством с ГБНУ «Ставропольский НИИСХ» и агропредприятиями Ставропольского края, с которыми проведены предварительные переговоры в марте–апреле 2026 г.</w:t>
      </w:r>
    </w:p>
    <w:bookmarkEnd w:id="40"/>
    <w:bookmarkStart w:id="41" w:name="Xd6070e45987f357bea46e4cd2ab46b067271e74"/>
    <w:p>
      <w:pPr>
        <w:pStyle w:val="4"/>
      </w:pPr>
      <w:r>
        <w:t xml:space="preserve">1.1.7 Customer Discovery и подтверждение спроса</w:t>
      </w:r>
    </w:p>
    <w:p>
      <w:pPr>
        <w:pStyle w:val="FirstParagraph"/>
      </w:pPr>
      <w:r>
        <w:t xml:space="preserve">В январе–апреле 2026 г. проведены 7 глубинных интервью с представителями целевой аудитории: главными агрономами и техническими директорами агропредприятий Ставропольского края (4 хозяйства площадью 4 500–18 000 га, 2 агросервисных компании-оператора, 1 дистрибьютор агро-БПЛА). Ключевые выводы: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100 % респондентов</w:t>
      </w:r>
      <w:r>
        <w:t xml:space="preserve"> </w:t>
      </w:r>
      <w:r>
        <w:t xml:space="preserve">сталкивались с кратковременными потерями GPS-сигнала дронами (от 1–2 раз в сезон до еженедельных случаев в приграничных районах).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86 % (6/7)</w:t>
      </w:r>
      <w:r>
        <w:t xml:space="preserve"> </w:t>
      </w:r>
      <w:r>
        <w:t xml:space="preserve">указали отсутствие автоматического перепланирования при потере дрона как критический недостаток существующих систем.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71 % (5/7)</w:t>
      </w:r>
      <w:r>
        <w:t xml:space="preserve"> </w:t>
      </w:r>
      <w:r>
        <w:t xml:space="preserve">выразили готовность рассмотреть подключение к пилоту SafeAgriRoute при наличии SLA 99,5 % и ценового диапазона до 25 000 руб./мес.</w:t>
      </w:r>
    </w:p>
    <w:p>
      <w:pPr>
        <w:numPr>
          <w:ilvl w:val="0"/>
          <w:numId w:val="1004"/>
        </w:numPr>
        <w:pStyle w:val="Compact"/>
      </w:pPr>
      <w:r>
        <w:t xml:space="preserve">Основной барьер к покупке — необходимость интеграции с существующими учётными системами (1С:Агропредприятие).</w:t>
      </w:r>
    </w:p>
    <w:p>
      <w:pPr>
        <w:pStyle w:val="FirstParagraph"/>
      </w:pPr>
      <w:r>
        <w:t xml:space="preserve">На основании результатов интервью скорректированы: ценовой диапазон тарифов (снижен с 22 000 до 18 000 руб./мес. для тарифа «Бизнес»), приоритет roadmap (интеграция с 1С вынесена в версию 2.0).</w:t>
      </w:r>
    </w:p>
    <w:bookmarkEnd w:id="41"/>
    <w:bookmarkStart w:id="42" w:name="команда-стартапа-и-roadmap"/>
    <w:p>
      <w:pPr>
        <w:pStyle w:val="4"/>
      </w:pPr>
      <w:r>
        <w:t xml:space="preserve">1.1.8 Команда стартапа и Roadmap</w:t>
      </w:r>
    </w:p>
    <w:p>
      <w:pPr>
        <w:pStyle w:val="FirstParagraph"/>
      </w:pPr>
      <w:r>
        <w:rPr>
          <w:bCs/>
          <w:b/>
        </w:rPr>
        <w:t xml:space="preserve">Состав команды: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Компетенции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Tech Lead / Backend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Сутормин М.П.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Алгоритмы VRP, FastAPI, MAVLink-интеграция, ИБ-архитектура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Frontend / ИБ-модуль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Яковенко В.С.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React, Leaflet, JWT-аутентификация, пентест веб-платформы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Научный руководитель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Петренко В.И.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ИБ БПЛА, модели угроз, консультации по ФСТЭК</w:t>
            </w:r>
          </w:p>
        </w:tc>
      </w:tr>
    </w:tbl>
    <w:p>
      <w:pPr>
        <w:pStyle w:val="BodyText"/>
      </w:pPr>
      <w:r>
        <w:t xml:space="preserve">Команда обладает полным стеком компетенций для MVP. Для тиражирования (2027) запланировано привлечение DevOps-инженера и менеджера по работе с клиентами из АПК.</w:t>
      </w:r>
    </w:p>
    <w:p>
      <w:pPr>
        <w:pStyle w:val="BodyText"/>
      </w:pPr>
      <w:r>
        <w:rPr>
          <w:bCs/>
          <w:b/>
        </w:rPr>
        <w:t xml:space="preserve">Roadmap SafeAgriRoute: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Ключевые функции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v1.0 (MVP)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Q2 2026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RWVD + OR-Tools CVRP + replanner + эвристика угроз + JWT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Q4 2026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Мобильное приложение (React Native); offline-режим на Edge Node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ML-детектор угроз (LSTM); интеграция 1С:Агропредприятие; до 8 дронов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Haversine-расстояние; 3D-маршрутизация с ЦМР SRTM; SIEM-интеграция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Сертификация ФСТЭК; On-premise развёртывание; федеральное масштабирование</w:t>
            </w:r>
          </w:p>
        </w:tc>
      </w:tr>
    </w:tbl>
    <w:bookmarkEnd w:id="42"/>
    <w:bookmarkStart w:id="43" w:name="X31c2a862636564f6e6429030c868389d5c1bf9d"/>
    <w:p>
      <w:pPr>
        <w:pStyle w:val="4"/>
      </w:pPr>
      <w:r>
        <w:t xml:space="preserve">1.1.9 Экономический эффект внедрения для клиента (ROI)</w:t>
      </w:r>
    </w:p>
    <w:p>
      <w:pPr>
        <w:pStyle w:val="FirstParagraph"/>
      </w:pPr>
      <w:r>
        <w:t xml:space="preserve">Для обоснования ценообразования рассчитан экономический эффект от внедрения SafeAgriRoute для типового агропредприятия — 8 000 га зерновых культур, парк 4 дронов Агромастер АМ-10.</w:t>
      </w:r>
    </w:p>
    <w:p>
      <w:pPr>
        <w:pStyle w:val="BodyText"/>
      </w:pPr>
      <w:r>
        <w:rPr>
          <w:bCs/>
          <w:b/>
        </w:rPr>
        <w:t xml:space="preserve">Таблица 1.3б — Расчёт ROI внедрения SafeAgriRoute (8 000 га, 4 дрона)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Статья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Без SafeAgriRoute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 SafeAgriRoute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Экономия/год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Расход пестицидов (−30 % NDVI-планирование)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4 800 тыс. руб.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3 360 тыс. руб.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+1 440 тыс. руб.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Потери от инцидентов GPS-глушения (1 дрон/сезон)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~900 тыс. руб.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~90 тыс. руб.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+810 тыс. руб.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Ручное перепланирование оператора (5 ч × 8 событий)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40 ч × 500 руб. = 20 тыс. руб.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 (авто)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+20 тыс. руб.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Суммарная экономия</w:t>
            </w: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2 270 тыс. руб./год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Стоимость тарифа «Бизнес»</w:t>
            </w: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216 тыс. руб./год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ROI</w:t>
            </w: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</w:pP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950 % за год</w:t>
            </w:r>
          </w:p>
        </w:tc>
      </w:tr>
    </w:tbl>
    <w:p>
      <w:pPr>
        <w:pStyle w:val="BodyText"/>
      </w:pPr>
      <w:r>
        <w:t xml:space="preserve">При LTV/CAC = 9,6 и ROI клиента ~950 % платформа обеспечивает убедительное обоснование ценообразования. Чувствительность ROI: даже при нулевой экономии на пестицидах (консервативный сценарий) только предотвращение одной потери дрона в сезон (900 тыс. руб.) в 4 раза перекрывает годовую стоимость подписки.</w:t>
      </w:r>
    </w:p>
    <w:bookmarkEnd w:id="43"/>
    <w:bookmarkEnd w:id="44"/>
    <w:bookmarkStart w:id="55" w:name="Xd4dd4e45b8bbbac7873b1e80f58eda0f3068fa5"/>
    <w:p>
      <w:pPr>
        <w:pStyle w:val="3"/>
      </w:pPr>
      <w:r>
        <w:t xml:space="preserve">1.2 Анализ угроз и формализация метрики риска</w:t>
      </w:r>
    </w:p>
    <w:bookmarkStart w:id="45" w:name="классификация-нарушителей"/>
    <w:p>
      <w:pPr>
        <w:pStyle w:val="4"/>
      </w:pPr>
      <w:r>
        <w:t xml:space="preserve">1.2.1 Классификация нарушителей</w:t>
      </w:r>
    </w:p>
    <w:p>
      <w:pPr>
        <w:pStyle w:val="FirstParagraph"/>
      </w:pPr>
      <w:r>
        <w:t xml:space="preserve">В соответствии с Методикой оценки угроз безопасности информации ФСТЭК России (2021 г.) [20] модель нарушителя описывает возможных субъектов угроз, их мотивацию, уровень технической подготовки и степень осведомлённости о защищаемом объекте. Систематизация нарушителей является необходимым этапом построения модели угроз: от профиля нарушителя зависят вектор и сложность атаки, а следовательно — приоритет контрмер.</w:t>
      </w:r>
    </w:p>
    <w:p>
      <w:pPr>
        <w:pStyle w:val="BodyText"/>
      </w:pPr>
      <w:r>
        <w:t xml:space="preserve">Для агропредприятия с парком агро-БПЛА выделяется пять типов нарушителей (Н1–Н5).</w:t>
      </w:r>
    </w:p>
    <w:p>
      <w:pPr>
        <w:pStyle w:val="BodyText"/>
      </w:pPr>
      <w:r>
        <w:rPr>
          <w:bCs/>
          <w:b/>
        </w:rPr>
        <w:t xml:space="preserve">Таблица 1.4 — Классификация потенциальных нарушителей (по Методике ФСТЭК России, 2021 г.)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Идентификатор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Тип нарушителя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Потенциал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Мотивация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Примеры воздействий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Внешний, низкая квалификация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Низкий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Хулиганство, любопытство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GPS-глушилки из открытой продажи; перехват видеопотока SDR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Внешний, высокая квалификация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 / 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Конкуренция, ущерб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MAVLink-инъекции; GPS-спуфинг; OWASP Top-10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Н3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Внутренний (инсайдер)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Корысть, обида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Подмена карт NDVI; передача телеметрии конкурентам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Внутренний (случайный)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Низкий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Отсутствует (ошибка)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Открытие фишинговых ссылок; использование дефолтных паролей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Государственный / APT-актор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Диверсия, разведка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Применение 0-day уязвимостей; комплексный вывод связи из строя</w:t>
            </w:r>
          </w:p>
        </w:tc>
      </w:tr>
    </w:tbl>
    <w:p>
      <w:pPr>
        <w:pStyle w:val="BodyText"/>
      </w:pPr>
      <w:r>
        <w:t xml:space="preserve">Нарушители Н1 и Н4 представляют наибольшую вероятность реализации угроз — вследствие массовой доступности оборудования (SDR-приёмники от 3 000 руб., GPS-глушители от 2 000 руб.) и человеческого фактора соответственно. Нарушители Н2 и Н3 несут наибольший потенциальный ущерб. Нарушитель Н5 фактически не нейтрализуется в рамках бюджета среднего агропредприятия и относится к «принятым рискам» [17]. Существенно, что внутренний нарушитель (Н3) обладает преимуществом аутентифицированного доступа к системе управления и может осуществить атаку на целостность сенсорных данных или команд без необходимости взлома внешнего периметра [16].</w:t>
      </w:r>
    </w:p>
    <w:bookmarkEnd w:id="45"/>
    <w:bookmarkStart w:id="49" w:name="X4d8868f6c44dc7559639d231b89c0677e0718c4"/>
    <w:p>
      <w:pPr>
        <w:pStyle w:val="4"/>
      </w:pPr>
      <w:r>
        <w:t xml:space="preserve">1.2.2 Систематизация угроз навигации и доступности БПЛА</w:t>
      </w:r>
    </w:p>
    <w:bookmarkStart w:id="46" w:name="X46336961220e15eb8935b0cc8b476187e0491aa"/>
    <w:p>
      <w:pPr>
        <w:pStyle w:val="5"/>
      </w:pPr>
      <w:r>
        <w:t xml:space="preserve">Угрозы навигационной подсистемы (GPS/ГЛОНАСС Jamming и Spoofing)</w:t>
      </w:r>
    </w:p>
    <w:p>
      <w:pPr>
        <w:pStyle w:val="FirstParagraph"/>
      </w:pPr>
      <w:r>
        <w:t xml:space="preserve">Навигационная подсистема является критически важным компонентом любого автономного БПЛА: потеря или подмена координат непосредственно угрожает физической целостности аппарата и безопасности людей. Современные агро-дроны в штатном режиме используют сигналы ГНСС — GPS (L1 1575,42 МГц), ГЛОНАСС (L1 1602 МГц), а при наличии RTK-базовой станции — дифференциальные поправки RTCM-протокола [23].</w:t>
      </w:r>
    </w:p>
    <w:p>
      <w:pPr>
        <w:pStyle w:val="BodyText"/>
      </w:pPr>
      <w:r>
        <w:rPr>
          <w:bCs/>
          <w:b/>
        </w:rPr>
        <w:t xml:space="preserve">Угроза Н-НАВ-1. Глушение сигналов ГНСС (GPS/ГЛОНАСС Jamming).</w:t>
      </w:r>
      <w:r>
        <w:t xml:space="preserve"> </w:t>
      </w:r>
      <w:r>
        <w:t xml:space="preserve">Идентификатор БДУ ФСТЭК: УБИ.131. Источник: нарушители Н1–Н5.</w:t>
      </w:r>
    </w:p>
    <w:p>
      <w:pPr>
        <w:pStyle w:val="BodyText"/>
      </w:pPr>
      <w:r>
        <w:t xml:space="preserve">Сущность атаки: воздействие широкополосными помехами на рабочих частотах GPS (L1) и ГЛОНАСС (L1) подавляет навигационный сигнал. При потере сигнала ГНСС большинство автопилотов переходит в режим «hover» (зависание) или инициирует процедуру RTH (Return To Home), что может привести к зависанию дрона над людьми или к полному прерыванию миссии [9]. Оборудование для глушения GPS широко доступно в свободной продаже и стоит от 2 000 рублей. Угроза характеризуется высокой вероятностью и высоким ущербом, что даёт</w:t>
      </w:r>
      <w:r>
        <w:t xml:space="preserve"> </w:t>
      </w:r>
      <w:r>
        <w:rPr>
          <w:bCs/>
          <w:b/>
        </w:rPr>
        <w:t xml:space="preserve">критический уровень риска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Угроза Н-НАВ-2. Подмена сигналов ГНСС (GPS/ГЛОНАСС Spoofing).</w:t>
      </w:r>
      <w:r>
        <w:t xml:space="preserve"> </w:t>
      </w:r>
      <w:r>
        <w:t xml:space="preserve">Идентификатор БДУ ФСТЭК: УБИ.192. Источник: нарушители Н2–Н5.</w:t>
      </w:r>
    </w:p>
    <w:p>
      <w:pPr>
        <w:pStyle w:val="BodyText"/>
      </w:pPr>
      <w:r>
        <w:t xml:space="preserve">Сущность атаки: злоумышленник генерирует поддельные ГНСС-сигналы с заданными координатами и навязывает их бортовому приёмнику. Инцидент 2012 года в Техасском университете, в ходе которого исследователи перехватили беспилотник ВМС США с помощью GPS-спуфера, наглядно демонстрирует практическую реализуемость атаки [22]. Исследование Sun et al. (2023) показывает, что методы глубокого обучения позволяют обнаруживать GPS-спуфинг с точностью 98,7 % на лёгких БПЛА [10]. Последствия: увод дрона на территорию конкурента или в неразрешённую зону; непреднамеренная обработка чужих угодий дорогостоящими пестицидами; физическое уничтожение аппарата при столкновении с препятствием. Уровень риска —</w:t>
      </w:r>
      <w:r>
        <w:t xml:space="preserve"> </w:t>
      </w:r>
      <w:r>
        <w:rPr>
          <w:bCs/>
          <w:b/>
        </w:rPr>
        <w:t xml:space="preserve">высокий</w:t>
      </w:r>
      <w:r>
        <w:t xml:space="preserve">.</w:t>
      </w:r>
    </w:p>
    <w:p>
      <w:pPr>
        <w:pStyle w:val="BodyText"/>
      </w:pPr>
      <w:r>
        <w:t xml:space="preserve">Работа Петренко и соавт. (2026) [11] демонстрирует, что при инициации спуфинга на данных инерциальных датчиков наблюдаются характерные аномальные всплески акселерометра и гироскопа, что открывает возможность детекции атаки на основе анализа временных рядов ИНС без привлечения внешних сигналов.</w:t>
      </w:r>
    </w:p>
    <w:p>
      <w:pPr>
        <w:pStyle w:val="BodyText"/>
      </w:pPr>
      <w:r>
        <w:rPr>
          <w:bCs/>
          <w:b/>
        </w:rPr>
        <w:t xml:space="preserve">Угроза Н-НАВ-3. Атака на RTK-базовую станцию.</w:t>
      </w:r>
      <w:r>
        <w:t xml:space="preserve"> </w:t>
      </w:r>
      <w:r>
        <w:t xml:space="preserve">Идентификатор БДУ ФСТЭК: УБИ.192. Источник: нарушители Н2–Н3. Перехват или фальсификация поправочных данных RTK (RTCM-протокол без аутентификации) приводит к накоплению ошибки позиционирования до нескольких метров. Вероятность — низкая; ущерб — средний; уровень риска —</w:t>
      </w:r>
      <w:r>
        <w:t xml:space="preserve"> </w:t>
      </w:r>
      <w:r>
        <w:rPr>
          <w:bCs/>
          <w:b/>
        </w:rPr>
        <w:t xml:space="preserve">средний</w:t>
      </w:r>
      <w:r>
        <w:t xml:space="preserve">.</w:t>
      </w:r>
    </w:p>
    <w:bookmarkEnd w:id="46"/>
    <w:bookmarkStart w:id="47" w:name="угрозы-канала-управления-mavlink"/>
    <w:p>
      <w:pPr>
        <w:pStyle w:val="5"/>
      </w:pPr>
      <w:r>
        <w:t xml:space="preserve">Угрозы канала управления MAVLink</w:t>
      </w:r>
    </w:p>
    <w:p>
      <w:pPr>
        <w:pStyle w:val="FirstParagraph"/>
      </w:pPr>
      <w:r>
        <w:t xml:space="preserve">Протокол MAVLink v2.0 является де-факто стандартом беспроводной связи между БПЛА и НСУ. Несмотря на поддержку опциональной подписи пакетов, данный механизм не активирован в большинстве коммерческих конфигураций, а шифрование содержимого стандартом не предусмотрено [3]. Исследование Du et al. (2024) [12] экспериментально подтверждает практическую реализуемость перехвата управления серийными агро-дронами с применением доступного SDR-оборудования.</w:t>
      </w:r>
    </w:p>
    <w:p>
      <w:pPr>
        <w:pStyle w:val="BodyText"/>
      </w:pPr>
      <w:r>
        <w:t xml:space="preserve">Идентифицированы четыре ключевые угрозы канала управления: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Н-МАВ-1. Перехват управления (MAVLink Hijacking)</w:t>
      </w:r>
      <w:r>
        <w:t xml:space="preserve"> </w:t>
      </w:r>
      <w:r>
        <w:t xml:space="preserve">(УБИ.014): злоумышленник перехватывает MAVLink-сессию и получает полный контроль над дроном. Наиболее критичная угроза в части последствий.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Н-МАВ-2. Инъекция ложных команд (MAVLink Injection)</w:t>
      </w:r>
      <w:r>
        <w:t xml:space="preserve"> </w:t>
      </w:r>
      <w:r>
        <w:t xml:space="preserve">(УБИ.014): вставка в поток управления команд</w:t>
      </w:r>
      <w:r>
        <w:t xml:space="preserve"> </w:t>
      </w:r>
      <w:r>
        <w:rPr>
          <w:rStyle w:val="VerbatimChar"/>
        </w:rPr>
        <w:t xml:space="preserve">SET_MODE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MISSION_ITEM</w:t>
      </w:r>
      <w:r>
        <w:t xml:space="preserve"> </w:t>
      </w:r>
      <w:r>
        <w:t xml:space="preserve">с произвольными координатами. Работа Jeong et al. (2021) [13] описывает специализированную систему MUVIDS обнаружения таких инъекций.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Н-МАВ-3. Атака повторного воспроизведения (Replay)</w:t>
      </w:r>
      <w:r>
        <w:t xml:space="preserve"> </w:t>
      </w:r>
      <w:r>
        <w:t xml:space="preserve">(УБИ.014): захват пакетов MAVLink и их повторная отправка для воспроизведения ранее выполненной команды.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Н-МАВ-4. DoS на радиоканал управления</w:t>
      </w:r>
      <w:r>
        <w:t xml:space="preserve"> </w:t>
      </w:r>
      <w:r>
        <w:t xml:space="preserve">(УБИ.131): широкополосное или прицельное глушение частоты управляющего канала (2,4 ГГц / 5,8 ГГц), приводящее к потере управления.</w:t>
      </w:r>
    </w:p>
    <w:bookmarkEnd w:id="47"/>
    <w:bookmarkStart w:id="48" w:name="X3161f94279fa12995143e201db5246410480356"/>
    <w:p>
      <w:pPr>
        <w:pStyle w:val="5"/>
      </w:pPr>
      <w:r>
        <w:t xml:space="preserve">Угрозы уровня веб-платформы и облачной инфраструктуры</w:t>
      </w:r>
    </w:p>
    <w:p>
      <w:pPr>
        <w:pStyle w:val="FirstParagraph"/>
      </w:pPr>
      <w:r>
        <w:t xml:space="preserve">Серверная часть SafeAgriRoute является веб-приложением на FastAPI и несёт все типовые риски OWASP Top-10 [43]: инъекции (SQL, команды), нарушение аутентификации, раскрытие чувствительных данных, небезопасная десериализация. Тебуева и соавт. (2025) [14] описывают проблемно-ориентированные системы мониторинга многовекторных атак в децентрализованных IoT-средах, аналогичных инфраструктуре управления БПЛА.</w:t>
      </w:r>
    </w:p>
    <w:p>
      <w:pPr>
        <w:pStyle w:val="BodyText"/>
      </w:pPr>
      <w:r>
        <w:t xml:space="preserve">Дополнительно следует выделить угрозу взлома учётной записи диспетчера (УБИ.037): получение JWT-токена оператора предоставляет злоумышленнику полный контроль над всеми функциями платформы — планированием маршрутов, запуском дронов, внесением изменений в зоны РЭБ. Хакеем и соавт. (2025) [18] анализируют подходы к интеграции систем искусственного интеллекта для улучшения защиты IoT-систем управления дронами, что подтверждает актуальность многоуровневой защиты.</w:t>
      </w:r>
    </w:p>
    <w:bookmarkEnd w:id="48"/>
    <w:bookmarkEnd w:id="49"/>
    <w:bookmarkStart w:id="51" w:name="Xbb4a7ea34e76f1244c567186f3940b3cd59407f"/>
    <w:p>
      <w:pPr>
        <w:pStyle w:val="4"/>
      </w:pPr>
      <w:r>
        <w:t xml:space="preserve">1.2.3 Матрица рисков и формализация метрики R(x,y)</w:t>
      </w:r>
    </w:p>
    <w:p>
      <w:pPr>
        <w:pStyle w:val="FirstParagraph"/>
      </w:pPr>
      <w:r>
        <w:t xml:space="preserve">На основе анализа, проведённого в разделах 1.2.1–1.2.2, составлена сводная матрица рисков. Вероятность реализации угроз оценивается по трёхуровневой шкале (Низкая / Средняя / Высокая), потенциальный ущерб — также по трёхуровневой шкале. Уровень риска определяется произведением вероятности и ущерба в соответствии с Методикой ФСТЭК России [20].</w:t>
      </w:r>
    </w:p>
    <w:p>
      <w:pPr>
        <w:pStyle w:val="BodyText"/>
      </w:pPr>
      <w:r>
        <w:rPr>
          <w:bCs/>
          <w:b/>
        </w:rPr>
        <w:t xml:space="preserve">Таблица 1.5 — Матрица рисков информационной безопасности агро-БПЛА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Угроза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Вероятность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Ущерб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Уровень риска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БДУ ФСТЭК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Нарушители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Глушение ГНСС-сигнала (Jamming)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КРИТИЧЕСКИЙ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УБИ.131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Н1–Н5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Подмена GPS-координат (Spoofing)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УБИ.192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Н2–Н5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Перехват управления (MAVLink Hijacking)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Критический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КРИТИЧЕСКИЙ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Н1–Н2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Инъекция ложных команд (Injection)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Атака повторного воспроизведения (Replay)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Атака на RTK-базовую станцию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УБИ.192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Н2–Н3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DoS на радиоканал управления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УБИ.131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Н1–Н5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Взлом учётной записи диспетчера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УБИ.037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Н2–Н4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DDoS на облачный сервер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УБИ.056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Н2, Н5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Атаки на веб-приложение (OWASP Top-10)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УБИ.037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Подмена карт NDVI / предписаний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УБИ.159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Н2–Н3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Заражение НСУ вредоносным ПО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УБИ.101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Н2</w:t>
            </w:r>
          </w:p>
        </w:tc>
      </w:tr>
    </w:tbl>
    <w:bookmarkStart w:id="50" w:name="формализация-метрики-риска-rxy"/>
    <w:p>
      <w:pPr>
        <w:pStyle w:val="5"/>
      </w:pPr>
      <w:r>
        <w:t xml:space="preserve">Формализация метрики риска R(x,y)</w:t>
      </w:r>
    </w:p>
    <w:p>
      <w:pPr>
        <w:pStyle w:val="FirstParagraph"/>
      </w:pPr>
      <w:r>
        <w:t xml:space="preserve">Для решения задачи маршрутизации с учётом угрозовой обстановки вводится дискретная карта рисков R(i,j) над сеткой поля. Каждая ячейка (i,j) сетки с шагом grid_step = 0,0002° (~22 м) получает значение риска R ∈ [0, 1]: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bCs/>
          <w:b/>
        </w:rPr>
        <w:t xml:space="preserve">зон глушения (jammer-зон)</w:t>
      </w:r>
      <w:r>
        <w:t xml:space="preserve"> </w:t>
      </w:r>
      <w:r>
        <w:t xml:space="preserve">риск рассчитывается по формуле линейного затухания от границы зоны:</w:t>
      </w:r>
    </w:p>
    <w:p>
      <w:pPr>
        <w:pStyle w:val="BodyText"/>
      </w:pPr>
      <ns2:oMathPara>
        <ns2:oMathParaPr>
          <ns2:jc ns2:val="center"/>
        </ns2:oMathParaPr>
        <ns2:oMath>
          <ns2:sSub>
            <ns2:e>
              <ns2:r>
                <ns2:t>r</ns2:t>
              </ns2:r>
            </ns2:e>
            <ns2:sub>
              <ns2:r>
                <ns2:rPr>
                  <ns2:sty ns2:val="p"/>
                </ns2:rPr>
                <ns2:t>j</ns2:t>
              </ns2:r>
              <ns2:r>
                <ns2:rPr>
                  <ns2:sty ns2:val="p"/>
                </ns2:rPr>
                <ns2:t>a</ns2:t>
              </ns2:r>
              <ns2:r>
                <ns2:rPr>
                  <ns2:sty ns2:val="p"/>
                </ns2:rPr>
                <ns2:t>m</ns2:t>
              </ns2:r>
              <ns2:r>
                <ns2:rPr>
                  <ns2:sty ns2:val="p"/>
                </ns2:rPr>
                <ns2:t>m</ns2:t>
              </ns2:r>
              <ns2:r>
                <ns2:rPr>
                  <ns2:sty ns2:val="p"/>
                </ns2:rPr>
                <ns2:t>e</ns2:t>
              </ns2:r>
              <ns2:r>
                <ns2:rPr>
                  <ns2:sty ns2:val="p"/>
                </ns2:rPr>
                <ns2:t>r</ns2:t>
              </ns2:r>
            </ns2:sub>
          </ns2:sSub>
          <ns2:d>
            <ns2:dPr>
              <ns2:begChr ns2:val="("/>
              <ns2:endChr ns2:val=")"/>
              <ns2:sepChr ns2:val=""/>
              <ns2:grow/>
            </ns2:dPr>
            <ns2:e>
              <ns2:r>
                <ns2:t>i</ns2:t>
              </ns2:r>
              <ns2:r>
                <ns2:rPr>
                  <ns2:sty ns2:val="p"/>
                </ns2:rPr>
                <ns2:t>,</ns2:t>
              </ns2:r>
              <ns2:r>
                <ns2:t>j</ns2:t>
              </ns2:r>
            </ns2:e>
          </ns2:d>
          <ns2:r>
            <ns2:rPr>
              <ns2:sty ns2:val="p"/>
            </ns2:rPr>
            <ns2:t>=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v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t</ns2:t>
          </ns2:r>
          <ns2:r>
            <ns2:rPr>
              <ns2:sty ns2:val="p"/>
            </ns2:rPr>
            <ns2:t>y</ns2:t>
          </ns2:r>
          <ns2:r>
            <ns2:rPr>
              <ns2:sty ns2:val="p"/>
            </ns2:rPr>
            <ns2:t>⋅</ns2:t>
          </ns2:r>
          <ns2:r>
            <ns2:rPr>
              <ns2:sty ns2:val="p"/>
            </ns2:rPr>
            <ns2:t>max</ns2:t>
          </ns2:r>
          <ns2:r>
            <ns2:t>​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0</ns2:t>
              </ns2:r>
              <ns2:r>
                <ns2:rPr>
                  <ns2:sty ns2:val="p"/>
                </ns2:rPr>
                <ns2:t>,</ns2:t>
              </ns2:r>
              <ns2:r>
                <ns2:t> </ns2:t>
              </ns2:r>
              <ns2:f>
                <ns2:fPr>
                  <ns2:type ns2:val="bar"/>
                </ns2:fPr>
                <ns2:num>
                  <ns2:r>
                    <ns2:rPr>
                      <ns2:sty ns2:val="p"/>
                    </ns2:rPr>
                    <ns2:t>r</ns2:t>
                  </ns2:r>
                  <ns2:r>
                    <ns2:rPr>
                      <ns2:sty ns2:val="p"/>
                    </ns2:rPr>
                    <ns2:t>a</ns2:t>
                  </ns2:r>
                  <ns2:r>
                    <ns2:rPr>
                      <ns2:sty ns2:val="p"/>
                    </ns2:rPr>
                    <ns2:t>d</ns2:t>
                  </ns2:r>
                  <ns2:r>
                    <ns2:rPr>
                      <ns2:sty ns2:val="p"/>
                    </ns2:rPr>
                    <ns2:t>i</ns2:t>
                  </ns2:r>
                  <ns2:r>
                    <ns2:rPr>
                      <ns2:sty ns2:val="p"/>
                    </ns2:rPr>
                    <ns2:t>u</ns2:t>
                  </ns2:r>
                  <ns2:r>
                    <ns2:rPr>
                      <ns2:sty ns2:val="p"/>
                    </ns2:rPr>
                    <ns2:t>s</ns2:t>
                  </ns2:r>
                  <ns2:r>
                    <ns2:rPr>
                      <ns2:sty ns2:val="p"/>
                    </ns2:rPr>
                    <ns2:t>−</ns2:t>
                  </ns2:r>
                  <ns2:r>
                    <ns2:rPr>
                      <ns2:sty ns2:val="p"/>
                    </ns2:rPr>
                    <ns2:t>d</ns2:t>
                  </ns2:r>
                  <ns2:r>
                    <ns2:rPr>
                      <ns2:sty ns2:val="p"/>
                    </ns2:rPr>
                    <ns2:t>i</ns2:t>
                  </ns2:r>
                  <ns2:r>
                    <ns2:rPr>
                      <ns2:sty ns2:val="p"/>
                    </ns2:rPr>
                    <ns2:t>s</ns2:t>
                  </ns2:r>
                  <ns2:r>
                    <ns2:rPr>
                      <ns2:sty ns2:val="p"/>
                    </ns2:rPr>
                    <ns2:t>t</ns2:t>
                  </ns2:r>
                  <ns2:d>
                    <ns2:dPr>
                      <ns2:begChr ns2:val="("/>
                      <ns2:endChr ns2:val=")"/>
                      <ns2:sepChr ns2:val=""/>
                      <ns2:grow/>
                    </ns2:dPr>
                    <ns2:e>
                      <ns2:d>
                        <ns2:dPr>
                          <ns2:begChr ns2:val="("/>
                          <ns2:endChr ns2:val=")"/>
                          <ns2:sepChr ns2:val=""/>
                          <ns2:grow/>
                        </ns2:dPr>
                        <ns2:e>
                          <ns2:r>
                            <ns2:t>i</ns2:t>
                          </ns2:r>
                          <ns2:r>
                            <ns2:rPr>
                              <ns2:sty ns2:val="p"/>
                            </ns2:rPr>
                            <ns2:t>,</ns2:t>
                          </ns2:r>
                          <ns2:r>
                            <ns2:t>j</ns2:t>
                          </ns2:r>
                        </ns2:e>
                      </ns2:d>
                      <ns2:r>
                        <ns2:rPr>
                          <ns2:sty ns2:val="p"/>
                        </ns2:rPr>
                        <ns2:t>,</ns2:t>
                      </ns2:r>
                      <ns2:r>
                        <ns2:t> </ns2:t>
                      </ns2:r>
                      <ns2:r>
                        <ns2:rPr>
                          <ns2:sty ns2:val="p"/>
                        </ns2:rPr>
                        <ns2:t>c</ns2:t>
                      </ns2:r>
                      <ns2:r>
                        <ns2:rPr>
                          <ns2:sty ns2:val="p"/>
                        </ns2:rPr>
                        <ns2:t>e</ns2:t>
                      </ns2:r>
                      <ns2:r>
                        <ns2:rPr>
                          <ns2:sty ns2:val="p"/>
                        </ns2:rPr>
                        <ns2:t>n</ns2:t>
                      </ns2:r>
                      <ns2:r>
                        <ns2:rPr>
                          <ns2:sty ns2:val="p"/>
                        </ns2:rPr>
                        <ns2:t>t</ns2:t>
                      </ns2:r>
                      <ns2:r>
                        <ns2:rPr>
                          <ns2:sty ns2:val="p"/>
                        </ns2:rPr>
                        <ns2:t>e</ns2:t>
                      </ns2:r>
                      <ns2:r>
                        <ns2:rPr>
                          <ns2:sty ns2:val="p"/>
                        </ns2:rPr>
                        <ns2:t>r</ns2:t>
                      </ns2:r>
                    </ns2:e>
                  </ns2:d>
                </ns2:num>
                <ns2:den>
                  <ns2:r>
                    <ns2:rPr>
                      <ns2:sty ns2:val="p"/>
                    </ns2:rPr>
                    <ns2:t>r</ns2:t>
                  </ns2:r>
                  <ns2:r>
                    <ns2:rPr>
                      <ns2:sty ns2:val="p"/>
                    </ns2:rPr>
                    <ns2:t>a</ns2:t>
                  </ns2:r>
                  <ns2:r>
                    <ns2:rPr>
                      <ns2:sty ns2:val="p"/>
                    </ns2:rPr>
                    <ns2:t>d</ns2:t>
                  </ns2:r>
                  <ns2:r>
                    <ns2:rPr>
                      <ns2:sty ns2:val="p"/>
                    </ns2:rPr>
                    <ns2:t>i</ns2:t>
                  </ns2:r>
                  <ns2:r>
                    <ns2:rPr>
                      <ns2:sty ns2:val="p"/>
                    </ns2:rPr>
                    <ns2:t>u</ns2:t>
                  </ns2:r>
                  <ns2:r>
                    <ns2:rPr>
                      <ns2:sty ns2:val="p"/>
                    </ns2:rPr>
                    <ns2:t>s</ns2:t>
                  </ns2:r>
                </ns2:den>
              </ns2:f>
            </ns2:e>
          </ns2:d>
        </ns2:oMath>
      </ns2:oMathPara>
    </w:p>
    <w:p>
      <w:pPr>
        <w:pStyle w:val="FirstParagraph"/>
      </w:pPr>
      <w:r>
        <w:t xml:space="preserve">где severity ∈ [0, 1] — степень угрозы зоны (задаётся оператором), radius = 0,005° (~500 м) — радиус влияния, dist(i,j, center) — евклидово расстояние от ячейки до центра зоны.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bCs/>
          <w:b/>
        </w:rPr>
        <w:t xml:space="preserve">запретных зон (restricted-зон)</w:t>
      </w:r>
      <w:r>
        <w:t xml:space="preserve"> </w:t>
      </w:r>
      <w:r>
        <w:t xml:space="preserve">риск равен severity внутри полигона и 0 снаружи:</w:t>
      </w:r>
    </w:p>
    <w:p>
      <w:pPr>
        <w:pStyle w:val="BodyText"/>
      </w:pPr>
      <ns2:oMathPara>
        <ns2:oMathParaPr>
          <ns2:jc ns2:val="center"/>
        </ns2:oMathParaPr>
        <ns2:oMath>
          <ns2:sSub>
            <ns2:e>
              <ns2:r>
                <ns2:t>r</ns2:t>
              </ns2:r>
            </ns2:e>
            <ns2:sub>
              <ns2:r>
                <ns2:rPr>
                  <ns2:sty ns2:val="p"/>
                </ns2:rPr>
                <ns2:t>z</ns2:t>
              </ns2:r>
              <ns2:r>
                <ns2:rPr>
                  <ns2:sty ns2:val="p"/>
                </ns2:rPr>
                <ns2:t>o</ns2:t>
              </ns2:r>
              <ns2:r>
                <ns2:rPr>
                  <ns2:sty ns2:val="p"/>
                </ns2:rPr>
                <ns2:t>n</ns2:t>
              </ns2:r>
              <ns2:r>
                <ns2:rPr>
                  <ns2:sty ns2:val="p"/>
                </ns2:rPr>
                <ns2:t>e</ns2:t>
              </ns2:r>
            </ns2:sub>
          </ns2:sSub>
          <ns2:d>
            <ns2:dPr>
              <ns2:begChr ns2:val="("/>
              <ns2:endChr ns2:val=")"/>
              <ns2:sepChr ns2:val=""/>
              <ns2:grow/>
            </ns2:dPr>
            <ns2:e>
              <ns2:r>
                <ns2:t>i</ns2:t>
              </ns2:r>
              <ns2:r>
                <ns2:rPr>
                  <ns2:sty ns2:val="p"/>
                </ns2:rPr>
                <ns2:t>,</ns2:t>
              </ns2:r>
              <ns2:r>
                <ns2:t>j</ns2:t>
              </ns2:r>
            </ns2:e>
          </ns2:d>
          <ns2:r>
            <ns2:rPr>
              <ns2:sty ns2:val="p"/>
            </ns2:rPr>
            <ns2:t>=</ns2:t>
          </ns2:r>
          <ns2:d>
            <ns2:dPr>
              <ns2:begChr ns2:val="{"/>
              <ns2:endChr ns2:val=""/>
              <ns2:sepChr ns2:val=""/>
              <ns2:grow/>
            </ns2:dPr>
            <ns2:e>
              <ns2:m>
                <ns2:mPr>
                  <ns2:baseJc ns2:val="center"/>
                  <ns2:plcHide ns2:val="on"/>
                  <ns2:mcs>
                    <ns2:mc>
                      <ns2:mcPr>
                        <ns2:mcJc ns2:val="left"/>
                        <ns2:count ns2:val="1"/>
                      </ns2:mcPr>
                    </ns2:mc>
                    <ns2:mc>
                      <ns2:mcPr>
                        <ns2:mcJc ns2:val="left"/>
                        <ns2:count ns2:val="1"/>
                      </ns2:mcPr>
                    </ns2:mc>
                  </ns2:mcs>
                </ns2:mPr>
                <ns2:mr>
                  <ns2:e>
                    <ns2:r>
                      <ns2:rPr>
                        <ns2:sty ns2:val="p"/>
                      </ns2:rPr>
                      <ns2:t>s</ns2:t>
                    </ns2:r>
                    <ns2:r>
                      <ns2:rPr>
                        <ns2:sty ns2:val="p"/>
                      </ns2:rPr>
                      <ns2:t>e</ns2:t>
                    </ns2:r>
                    <ns2:r>
                      <ns2:rPr>
                        <ns2:sty ns2:val="p"/>
                      </ns2:rPr>
                      <ns2:t>v</ns2:t>
                    </ns2:r>
                    <ns2:r>
                      <ns2:rPr>
                        <ns2:sty ns2:val="p"/>
                      </ns2:rPr>
                      <ns2:t>e</ns2:t>
                    </ns2:r>
                    <ns2:r>
                      <ns2:rPr>
                        <ns2:sty ns2:val="p"/>
                      </ns2:rPr>
                      <ns2:t>r</ns2:t>
                    </ns2:r>
                    <ns2:r>
                      <ns2:rPr>
                        <ns2:sty ns2:val="p"/>
                      </ns2:rPr>
                      <ns2:t>i</ns2:t>
                    </ns2:r>
                    <ns2:r>
                      <ns2:rPr>
                        <ns2:sty ns2:val="p"/>
                      </ns2:rPr>
                      <ns2:t>t</ns2:t>
                    </ns2:r>
                    <ns2:r>
                      <ns2:rPr>
                        <ns2:sty ns2:val="p"/>
                      </ns2:rPr>
                      <ns2:t>y</ns2:t>
                    </ns2:r>
                    <ns2:r>
                      <ns2:rPr>
                        <ns2:sty ns2:val="p"/>
                      </ns2:rPr>
                      <ns2:t>,</ns2:t>
                    </ns2:r>
                  </ns2:e>
                  <ns2:e>
                    <ns2:d>
                      <ns2:dPr>
                        <ns2:begChr ns2:val="("/>
                        <ns2:endChr ns2:val=")"/>
                        <ns2:sepChr ns2:val=""/>
                        <ns2:grow/>
                      </ns2:dPr>
                      <ns2:e>
                        <ns2:r>
                          <ns2:t>i</ns2:t>
                        </ns2:r>
                        <ns2:r>
                          <ns2:rPr>
                            <ns2:sty ns2:val="p"/>
                          </ns2:rPr>
                          <ns2:t>,</ns2:t>
                        </ns2:r>
                        <ns2:r>
                          <ns2:t>j</ns2:t>
                        </ns2:r>
                      </ns2:e>
                    </ns2:d>
                    <ns2:r>
                      <ns2:rPr>
                        <ns2:sty ns2:val="p"/>
                      </ns2:rPr>
                      <ns2:t>∈</ns2:t>
                    </ns2:r>
                    <ns2:r>
                      <ns2:rPr>
                        <ns2:sty ns2:val="p"/>
                      </ns2:rPr>
                      <ns2:t>P</ns2:t>
                    </ns2:r>
                    <ns2:r>
                      <ns2:rPr>
                        <ns2:sty ns2:val="p"/>
                      </ns2:rPr>
                      <ns2:t>o</ns2:t>
                    </ns2:r>
                    <ns2:r>
                      <ns2:rPr>
                        <ns2:sty ns2:val="p"/>
                      </ns2:rPr>
                      <ns2:t>l</ns2:t>
                    </ns2:r>
                    <ns2:r>
                      <ns2:rPr>
                        <ns2:sty ns2:val="p"/>
                      </ns2:rPr>
                      <ns2:t>y</ns2:t>
                    </ns2:r>
                    <ns2:r>
                      <ns2:rPr>
                        <ns2:sty ns2:val="p"/>
                      </ns2:rPr>
                      <ns2:t>g</ns2:t>
                    </ns2:r>
                    <ns2:r>
                      <ns2:rPr>
                        <ns2:sty ns2:val="p"/>
                      </ns2:rPr>
                      <ns2:t>o</ns2:t>
                    </ns2:r>
                    <ns2:r>
                      <ns2:rPr>
                        <ns2:sty ns2:val="p"/>
                      </ns2:rPr>
                      <ns2:t>n</ns2:t>
                    </ns2:r>
                  </ns2:e>
                </ns2:mr>
                <ns2:mr>
                  <ns2:e>
                    <ns2:r>
                      <ns2:t>0</ns2:t>
                    </ns2:r>
                    <ns2:r>
                      <ns2:rPr>
                        <ns2:sty ns2:val="p"/>
                      </ns2:rPr>
                      <ns2:t>,</ns2:t>
                    </ns2:r>
                  </ns2:e>
                  <ns2:e>
                    <ns2:d>
                      <ns2:dPr>
                        <ns2:begChr ns2:val="("/>
                        <ns2:endChr ns2:val=")"/>
                        <ns2:sepChr ns2:val=""/>
                        <ns2:grow/>
                      </ns2:dPr>
                      <ns2:e>
                        <ns2:r>
                          <ns2:t>i</ns2:t>
                        </ns2:r>
                        <ns2:r>
                          <ns2:rPr>
                            <ns2:sty ns2:val="p"/>
                          </ns2:rPr>
                          <ns2:t>,</ns2:t>
                        </ns2:r>
                        <ns2:r>
                          <ns2:t>j</ns2:t>
                        </ns2:r>
                      </ns2:e>
                    </ns2:d>
                    <ns2:r>
                      <ns2:rPr>
                        <ns2:sty ns2:val="p"/>
                      </ns2:rPr>
                      <ns2:t>∉</ns2:t>
                    </ns2:r>
                    <ns2:r>
                      <ns2:rPr>
                        <ns2:sty ns2:val="p"/>
                      </ns2:rPr>
                      <ns2:t>P</ns2:t>
                    </ns2:r>
                    <ns2:r>
                      <ns2:rPr>
                        <ns2:sty ns2:val="p"/>
                      </ns2:rPr>
                      <ns2:t>o</ns2:t>
                    </ns2:r>
                    <ns2:r>
                      <ns2:rPr>
                        <ns2:sty ns2:val="p"/>
                      </ns2:rPr>
                      <ns2:t>l</ns2:t>
                    </ns2:r>
                    <ns2:r>
                      <ns2:rPr>
                        <ns2:sty ns2:val="p"/>
                      </ns2:rPr>
                      <ns2:t>y</ns2:t>
                    </ns2:r>
                    <ns2:r>
                      <ns2:rPr>
                        <ns2:sty ns2:val="p"/>
                      </ns2:rPr>
                      <ns2:t>g</ns2:t>
                    </ns2:r>
                    <ns2:r>
                      <ns2:rPr>
                        <ns2:sty ns2:val="p"/>
                      </ns2:rPr>
                      <ns2:t>o</ns2:t>
                    </ns2:r>
                    <ns2:r>
                      <ns2:rPr>
                        <ns2:sty ns2:val="p"/>
                      </ns2:rPr>
                      <ns2:t>n</ns2:t>
                    </ns2:r>
                  </ns2:e>
                </ns2:mr>
              </ns2:m>
            </ns2:e>
          </ns2:d>
        </ns2:oMath>
      </ns2:oMathPara>
    </w:p>
    <w:p>
      <w:pPr>
        <w:pStyle w:val="FirstParagraph"/>
      </w:pPr>
      <w:r>
        <w:t xml:space="preserve">Итоговый риск ячейки нормализуется на [0, 1]:</w:t>
      </w:r>
    </w:p>
    <w:p>
      <w:pPr>
        <w:pStyle w:val="BodyText"/>
      </w:pPr>
      <ns2:oMathPara>
        <ns2:oMathParaPr>
          <ns2:jc ns2:val="center"/>
        </ns2:oMathParaPr>
        <ns2:oMath>
          <ns2:r>
            <ns2:t>R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i</ns2:t>
              </ns2:r>
              <ns2:r>
                <ns2:rPr>
                  <ns2:sty ns2:val="p"/>
                </ns2:rPr>
                <ns2:t>,</ns2:t>
              </ns2:r>
              <ns2:r>
                <ns2:t>j</ns2:t>
              </ns2:r>
            </ns2:e>
          </ns2:d>
          <ns2:r>
            <ns2:rPr>
              <ns2:sty ns2:val="p"/>
            </ns2:rPr>
            <ns2:t>=</ns2:t>
          </ns2:r>
          <ns2:r>
            <ns2:rPr>
              <ns2:sty ns2:val="p"/>
            </ns2:rPr>
            <ns2:t>min</ns2:t>
          </ns2:r>
          <ns2:r>
            <ns2:t>​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1.0</ns2:t>
              </ns2:r>
              <ns2:r>
                <ns2:rPr>
                  <ns2:sty ns2:val="p"/>
                </ns2:rPr>
                <ns2:t>,</ns2:t>
              </ns2:r>
              <ns2:r>
                <ns2:t> </ns2:t>
              </ns2:r>
              <ns2:sSub>
                <ns2:e>
                  <ns2:r>
                    <ns2:t>r</ns2:t>
                  </ns2:r>
                </ns2:e>
                <ns2:sub>
                  <ns2:r>
                    <ns2:rPr>
                      <ns2:sty ns2:val="p"/>
                    </ns2:rPr>
                    <ns2:t>j</ns2:t>
                  </ns2:r>
                  <ns2:r>
                    <ns2:rPr>
                      <ns2:sty ns2:val="p"/>
                    </ns2:rPr>
                    <ns2:t>a</ns2:t>
                  </ns2:r>
                  <ns2:r>
                    <ns2:rPr>
                      <ns2:sty ns2:val="p"/>
                    </ns2:rPr>
                    <ns2:t>m</ns2:t>
                  </ns2:r>
                  <ns2:r>
                    <ns2:rPr>
                      <ns2:sty ns2:val="p"/>
                    </ns2:rPr>
                    <ns2:t>m</ns2:t>
                  </ns2:r>
                  <ns2:r>
                    <ns2:rPr>
                      <ns2:sty ns2:val="p"/>
                    </ns2:rPr>
                    <ns2:t>e</ns2:t>
                  </ns2:r>
                  <ns2:r>
                    <ns2:rPr>
                      <ns2:sty ns2:val="p"/>
                    </ns2:rPr>
                    <ns2:t>r</ns2:t>
                  </ns2:r>
                </ns2:sub>
              </ns2:sSub>
              <ns2:d>
                <ns2:dPr>
                  <ns2:begChr ns2:val="("/>
                  <ns2:endChr ns2:val=")"/>
                  <ns2:sepChr ns2:val=""/>
                  <ns2:grow/>
                </ns2:dPr>
                <ns2:e>
                  <ns2:r>
                    <ns2:t>i</ns2:t>
                  </ns2:r>
                  <ns2:r>
                    <ns2:rPr>
                      <ns2:sty ns2:val="p"/>
                    </ns2:rPr>
                    <ns2:t>,</ns2:t>
                  </ns2:r>
                  <ns2:r>
                    <ns2:t>j</ns2:t>
                  </ns2:r>
                </ns2:e>
              </ns2:d>
              <ns2:r>
                <ns2:rPr>
                  <ns2:sty ns2:val="p"/>
                </ns2:rPr>
                <ns2:t>+</ns2:t>
              </ns2:r>
              <ns2:sSub>
                <ns2:e>
                  <ns2:r>
                    <ns2:t>r</ns2:t>
                  </ns2:r>
                </ns2:e>
                <ns2:sub>
                  <ns2:r>
                    <ns2:rPr>
                      <ns2:sty ns2:val="p"/>
                    </ns2:rPr>
                    <ns2:t>z</ns2:t>
                  </ns2:r>
                  <ns2:r>
                    <ns2:rPr>
                      <ns2:sty ns2:val="p"/>
                    </ns2:rPr>
                    <ns2:t>o</ns2:t>
                  </ns2:r>
                  <ns2:r>
                    <ns2:rPr>
                      <ns2:sty ns2:val="p"/>
                    </ns2:rPr>
                    <ns2:t>n</ns2:t>
                  </ns2:r>
                  <ns2:r>
                    <ns2:rPr>
                      <ns2:sty ns2:val="p"/>
                    </ns2:rPr>
                    <ns2:t>e</ns2:t>
                  </ns2:r>
                </ns2:sub>
              </ns2:sSub>
              <ns2:d>
                <ns2:dPr>
                  <ns2:begChr ns2:val="("/>
                  <ns2:endChr ns2:val=")"/>
                  <ns2:sepChr ns2:val=""/>
                  <ns2:grow/>
                </ns2:dPr>
                <ns2:e>
                  <ns2:r>
                    <ns2:t>i</ns2:t>
                  </ns2:r>
                  <ns2:r>
                    <ns2:rPr>
                      <ns2:sty ns2:val="p"/>
                    </ns2:rPr>
                    <ns2:t>,</ns2:t>
                  </ns2:r>
                  <ns2:r>
                    <ns2:t>j</ns2:t>
                  </ns2:r>
                </ns2:e>
              </ns2:d>
            </ns2:e>
          </ns2:d>
        </ns2:oMath>
      </ns2:oMathPara>
    </w:p>
    <w:p>
      <w:pPr>
        <w:pStyle w:val="FirstParagraph"/>
      </w:pPr>
      <w:r>
        <w:t xml:space="preserve">При наличии нескольких зон риски суммируются с нормализацией. Ячейки с R(i,j) = 1,0 (внутри jammer-зоны) полностью исключаются из пула целевых точек маршрута. Для остальных ячеек их вес в алгоритме Risk-Weighted Voronoi определяется как:</w:t>
      </w:r>
    </w:p>
    <w:p>
      <w:pPr>
        <w:pStyle w:val="BodyText"/>
      </w:pPr>
      <ns2:oMathPara>
        <ns2:oMathParaPr>
          <ns2:jc ns2:val="center"/>
        </ns2:oMathParaPr>
        <ns2:oMath>
          <ns2:r>
            <ns2:t>w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i</ns2:t>
              </ns2:r>
              <ns2:r>
                <ns2:rPr>
                  <ns2:sty ns2:val="p"/>
                </ns2:rPr>
                <ns2:t>,</ns2:t>
              </ns2:r>
              <ns2:r>
                <ns2:t>j</ns2:t>
              </ns2:r>
            </ns2:e>
          </ns2:d>
          <ns2:r>
            <ns2:rPr>
              <ns2:sty ns2:val="p"/>
            </ns2:rPr>
            <ns2:t>=</ns2:t>
          </ns2:r>
          <ns2:f>
            <ns2:fPr>
              <ns2:type ns2:val="bar"/>
            </ns2:fPr>
            <ns2:num>
              <ns2:r>
                <ns2:t>1</ns2:t>
              </ns2:r>
            </ns2:num>
            <ns2:den>
              <ns2:r>
                <ns2:t>1</ns2:t>
              </ns2:r>
              <ns2:r>
                <ns2:rPr>
                  <ns2:sty ns2:val="p"/>
                </ns2:rPr>
                <ns2:t>−</ns2:t>
              </ns2:r>
              <ns2:r>
                <ns2:t>R</ns2:t>
              </ns2:r>
              <ns2:d>
                <ns2:dPr>
                  <ns2:begChr ns2:val="("/>
                  <ns2:endChr ns2:val=")"/>
                  <ns2:sepChr ns2:val=""/>
                  <ns2:grow/>
                </ns2:dPr>
                <ns2:e>
                  <ns2:r>
                    <ns2:t>i</ns2:t>
                  </ns2:r>
                  <ns2:r>
                    <ns2:rPr>
                      <ns2:sty ns2:val="p"/>
                    </ns2:rPr>
                    <ns2:t>,</ns2:t>
                  </ns2:r>
                  <ns2:r>
                    <ns2:t>j</ns2:t>
                  </ns2:r>
                </ns2:e>
              </ns2:d>
              <ns2:r>
                <ns2:rPr>
                  <ns2:sty ns2:val="p"/>
                </ns2:rPr>
                <ns2:t>+</ns2:t>
              </ns2:r>
              <ns2:r>
                <ns2:t>ε</ns2:t>
              </ns2:r>
            </ns2:den>
          </ns2:f>
          <ns2:r>
            <ns2:rPr>
              <ns2:sty ns2:val="p"/>
            </ns2:rPr>
            <ns2:t>,</ns2:t>
          </ns2:r>
          <ns2:r>
            <ns2:t>  </ns2:t>
          </ns2:r>
          <ns2:r>
            <ns2:t>ε</ns2:t>
          </ns2:r>
          <ns2:r>
            <ns2:rPr>
              <ns2:sty ns2:val="p"/>
            </ns2:rPr>
            <ns2:t>=</ns2:t>
          </ns2:r>
          <ns2:r>
            <ns2:t>1</ns2:t>
          </ns2:r>
          <ns2:r>
            <ns2:rPr>
              <ns2:sty ns2:val="p"/>
            </ns2:rPr>
            <ns2:t>⋅</ns2:t>
          </ns2:r>
          <ns2:sSup>
            <ns2:e>
              <ns2:r>
                <ns2:t>10</ns2:t>
              </ns2:r>
            </ns2:e>
            <ns2:sup>
              <ns2:r>
                <ns2:rPr>
                  <ns2:sty ns2:val="p"/>
                </ns2:rPr>
                <ns2:t>−</ns2:t>
              </ns2:r>
              <ns2:r>
                <ns2:t>6</ns2:t>
              </ns2:r>
            </ns2:sup>
          </ns2:sSup>
        </ns2:oMath>
      </ns2:oMathPara>
    </w:p>
    <w:p>
      <w:pPr>
        <w:pStyle w:val="FirstParagraph"/>
      </w:pPr>
      <w:r>
        <w:t xml:space="preserve">Данная формула обеспечивает монотонное возрастание веса при приближении к зоне риска: ячейка с R = 0 имеет вес 1, ячейка с R = 0,9 — вес 10, ячейка с R = 0,99 — вес 100. Это математически «отталкивает» центроиды Voronoi от зон РЭБ, заставляя алгоритм концентрировать рабочие точки в безопасных зонах поля.</w:t>
      </w:r>
    </w:p>
    <w:p>
      <w:pPr>
        <w:pStyle w:val="BodyText"/>
      </w:pPr>
      <w:r>
        <w:rPr>
          <w:bCs/>
          <w:b/>
        </w:rPr>
        <w:t xml:space="preserve">Интегральный критерий надёжности миссии (IRM)</w:t>
      </w:r>
      <w:r>
        <w:t xml:space="preserve"> </w:t>
      </w:r>
      <w:r>
        <w:t xml:space="preserve">вычисляется после формирования всех маршрутов:</w:t>
      </w:r>
    </w:p>
    <w:p>
      <w:pPr>
        <w:pStyle w:val="BodyText"/>
      </w:pPr>
      <ns2:oMathPara>
        <ns2:oMathParaPr>
          <ns2:jc ns2:val="center"/>
        </ns2:oMathParaPr>
        <ns2:oMath>
          <ns2:r>
            <ns2:rPr>
              <ns2:sty ns2:val="p"/>
            </ns2:rPr>
            <ns2:t>I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M</ns2:t>
          </ns2:r>
          <ns2:r>
            <ns2:rPr>
              <ns2:sty ns2:val="p"/>
            </ns2:rPr>
            <ns2:t>=</ns2:t>
          </ns2:r>
          <ns2:r>
            <ns2:t>1</ns2:t>
          </ns2:r>
          <ns2:r>
            <ns2:rPr>
              <ns2:sty ns2:val="p"/>
            </ns2:rPr>
            <ns2:t>−</ns2:t>
          </ns2:r>
          <ns2:f>
            <ns2:fPr>
              <ns2:type ns2:val="bar"/>
            </ns2:fPr>
            <ns2:num>
              <ns2:r>
                <ns2:t>1</ns2:t>
              </ns2:r>
            </ns2:num>
            <ns2:den>
              <ns2:d>
                <ns2:dPr>
                  <ns2:begChr ns2:val="|"/>
                  <ns2:endChr ns2:val="|"/>
                  <ns2:sepChr ns2:val=""/>
                  <ns2:grow/>
                </ns2:dPr>
                <ns2:e>
                  <ns2:r>
                    <ns2:t>W</ns2:t>
                  </ns2:r>
                </ns2:e>
              </ns2:d>
            </ns2:den>
          </ns2:f>
          <ns2:nary>
            <ns2:naryPr>
              <ns2:chr ns2:val="∑"/>
              <ns2:limLoc ns2:val="undOvr"/>
              <ns2:subHide ns2:val="off"/>
              <ns2:supHide ns2:val="on"/>
            </ns2:naryPr>
            <ns2:sub>
              <ns2:r>
                <ns2:t>w</ns2:t>
              </ns2:r>
              <ns2:r>
                <ns2:rPr>
                  <ns2:sty ns2:val="p"/>
                </ns2:rPr>
                <ns2:t>∈</ns2:t>
              </ns2:r>
              <ns2:r>
                <ns2:t>W</ns2:t>
              </ns2:r>
            </ns2:sub>
            <ns2:sup>
              <ns2:r>
                <ns2:t>​</ns2:t>
              </ns2:r>
            </ns2:sup>
            <ns2:e>
              <ns2:r>
                <ns2:t>R</ns2:t>
              </ns2:r>
            </ns2:e>
          </ns2:nary>
          <ns2:d>
            <ns2:dPr>
              <ns2:begChr ns2:val="("/>
              <ns2:endChr ns2:val=")"/>
              <ns2:sepChr ns2:val=""/>
              <ns2:grow/>
            </ns2:dPr>
            <ns2:e>
              <ns2:r>
                <ns2:t>w</ns2:t>
              </ns2:r>
            </ns2:e>
          </ns2:d>
        </ns2:oMath>
      </ns2:oMathPara>
    </w:p>
    <w:p>
      <w:pPr>
        <w:pStyle w:val="FirstParagraph"/>
      </w:pPr>
      <w:r>
        <w:t xml:space="preserve">где</w:t>
      </w:r>
      <w:r>
        <w:t xml:space="preserve"> </w:t>
      </w:r>
      <ns2:oMath>
        <ns2:r>
          <ns2:t>W</ns2:t>
        </ns2:r>
      </ns2:oMath>
      <w:r>
        <w:t xml:space="preserve"> </w:t>
      </w:r>
      <w:r>
        <w:t xml:space="preserve">— множество всех waypoints всех маршрутов миссии.</w:t>
      </w:r>
    </w:p>
    <w:p>
      <w:pPr>
        <w:pStyle w:val="BodyText"/>
      </w:pPr>
      <w:r>
        <w:t xml:space="preserve">Значение IRM ∈ [0, 1]. IRM = 1 означает, что все точки маршрута расположены в абсолютно безопасных зонах (R = 0). IRM = 0 соответствует маршрутам, полностью проложенным через максимально опасные зоны — практически недостижимая ситуация для реального поля с ограниченным числом зон РЭБ. Типичное значение IRM для MVP при двух зонах РЭБ с severity 0,6 и 0,9 составляет 0,82–0,94.</w:t>
      </w:r>
    </w:p>
    <w:p>
      <w:pPr>
        <w:pStyle w:val="BodyText"/>
      </w:pPr>
      <w:r>
        <w:t xml:space="preserve">Результаты матрицы рисков позволяют выделить два вектора критической уязвимости: глушение навигационных сигналов (УБИ.131) и перехват управления через незащищённый MAVLink (УБИ.014). Принципиальной первопричиной критической уязвимости канала управления является архитектурный изъян протокола — отсутствие обязательного шифрования и аутентификации в базовой конфигурации [3]. Именно устранению этих уязвимостей посвящены ключевые технические решения SafeAgriRoute.</w:t>
      </w:r>
    </w:p>
    <w:bookmarkEnd w:id="50"/>
    <w:bookmarkEnd w:id="51"/>
    <w:bookmarkStart w:id="52" w:name="контрмеры-реализованные-в-safeagriroute"/>
    <w:p>
      <w:pPr>
        <w:pStyle w:val="4"/>
      </w:pPr>
      <w:r>
        <w:t xml:space="preserve">1.2.4 Контрмеры, реализованные в SafeAgriRoute</w:t>
      </w:r>
    </w:p>
    <w:p>
      <w:pPr>
        <w:pStyle w:val="FirstParagraph"/>
      </w:pPr>
      <w:r>
        <w:t xml:space="preserve">На основании результатов анализа угроз в платформе реализованы организационно-технические контрмеры, перекрывающие идентифицированные критические и высокие риски.</w:t>
      </w:r>
    </w:p>
    <w:p>
      <w:pPr>
        <w:pStyle w:val="BodyText"/>
      </w:pPr>
      <w:r>
        <w:rPr>
          <w:bCs/>
          <w:b/>
        </w:rPr>
        <w:t xml:space="preserve">Контрмеры против угроз навигационной подсистемы (Н-НАВ-1, Н-НАВ-2)</w:t>
      </w:r>
    </w:p>
    <w:p>
      <w:pPr>
        <w:pStyle w:val="BodyText"/>
      </w:pPr>
      <w:r>
        <w:t xml:space="preserve">Основным техническим ответом на угрозы ГНСС-глушения и спуфинга является превентивная</w:t>
      </w:r>
      <w:r>
        <w:t xml:space="preserve"> </w:t>
      </w:r>
      <w:r>
        <w:rPr>
          <w:bCs/>
          <w:b/>
        </w:rPr>
        <w:t xml:space="preserve">риск-ориентированная маршрутизация</w:t>
      </w:r>
      <w:r>
        <w:t xml:space="preserve">: алгоритм Risk-Weighted Voronoi Decomposition (RWVD) и penalty-граф исключают точки с R(i,j) = 1 из пула waypoints ещё на этапе планирования, что фактически означает отказ от полётов в зоне действия известных глушителей. Данный подход соответствует рекомендациям ИКАО (Doc 9849 AN/457) по управлению воздушным движением в условиях деградированной навигации: первоочередной мерой является изменение маршрута для обхода зоны воздействия.</w:t>
      </w:r>
    </w:p>
    <w:p>
      <w:pPr>
        <w:pStyle w:val="BodyText"/>
      </w:pPr>
      <w:r>
        <w:t xml:space="preserve">Вторым уровнем защиты является эвристический контур (модули telemetry_features.py, threat_fusion.py, mission_fusion_runtime.py): скользящие признаки ГНСС-нестабильности вычисляются из потока MAVLink в реальном времени. Если показатель jam_prob превышает порог threshold_alarm = 0,7 на трёх последовательных тиках (debounce), система автоматически создаёт динамическую зону риска вокруг текущей позиции дрона с радиусом 300 м и инициирует перепланирование. Такой контур соответствует общей логике систем обнаружения вторжений для UAV-assisted smart farming и киберфизических БПЛА, где телеметрия используется как основной источник признаков аномального поведения [5, 21]. Время реакции от первого превышения порога до начала перепланирования не превышает 1,5 сек с учётом debounce-задержки.</w:t>
      </w:r>
    </w:p>
    <w:p>
      <w:pPr>
        <w:pStyle w:val="BodyText"/>
      </w:pPr>
      <w:r>
        <w:t xml:space="preserve">Детектирование GPS-спуфинга реализовано через мониторинг аномалий IMU-прокси: при спуфинге ГНСС-координаты изменяются скачкообразно, тогда как инерциальные данные (акселерометр, гироскоп) этого не отражают. Рассогласование интегрированной траектории ИНС с ГНСС-треком свыше порога (параметр</w:t>
      </w:r>
      <w:r>
        <w:t xml:space="preserve"> </w:t>
      </w:r>
      <w:r>
        <w:rPr>
          <w:rStyle w:val="VerbatimChar"/>
        </w:rPr>
        <w:t xml:space="preserve">IMU_TRAJECTORY_DIVERGENCE_THRESHOLD</w:t>
      </w:r>
      <w:r>
        <w:t xml:space="preserve">) является признаком спуфинга [11]. В текущей реализации MVP этот признак вычисляется через прокси-метрику</w:t>
      </w:r>
      <w:r>
        <w:t xml:space="preserve"> </w:t>
      </w:r>
      <w:r>
        <w:rPr>
          <w:rStyle w:val="VerbatimChar"/>
        </w:rPr>
        <w:t xml:space="preserve">imu_jerk</w:t>
      </w:r>
      <w:r>
        <w:t xml:space="preserve"> </w:t>
      </w:r>
      <w:r>
        <w:t xml:space="preserve">по последовательности координат MAVLink без отдельного IMU-потока, что даёт приближённую, но работоспособную оценку.</w:t>
      </w:r>
    </w:p>
    <w:p>
      <w:pPr>
        <w:pStyle w:val="BodyText"/>
      </w:pPr>
      <w:r>
        <w:rPr>
          <w:bCs/>
          <w:b/>
        </w:rPr>
        <w:t xml:space="preserve">Контрмеры против угроз канала управления MAVLink (Н-МАВ-1 — Н-МАВ-4)</w:t>
      </w:r>
    </w:p>
    <w:p>
      <w:pPr>
        <w:pStyle w:val="BodyText"/>
      </w:pPr>
      <w:r>
        <w:t xml:space="preserve">MAVLink v2.0 поддерживает механизм подписи пакетов (Packet Signing) на основе SHA-256 HMAC с 48-битными временными метками. В MVP SafeAgriRoute активация подписи реализована программно через установку параметра mavlink_signing_enabled = True в конфигурации pymavlink-соединения [3, 28]. Это устраняет угрозы Н-МАВ-2 (инъекция) и Н-МАВ-3 (replay), поскольку каждый пакет MAVLink содержит уникальную подпись и метку времени: повторно отправленный пакет с устаревшей меткой будет отклонён автопилотом.</w:t>
      </w:r>
    </w:p>
    <w:p>
      <w:pPr>
        <w:pStyle w:val="BodyText"/>
      </w:pPr>
      <w:r>
        <w:t xml:space="preserve">Для защиты от Н-МАВ-1 (перехват управления) дополнительно применяется туннелирование MAVLink-трафика через TLS (HTTPS-прокси на граничном узле) для режима работы через интернет, и VPN-туннель для режима локальной сети. В демонстрационной конфигурации MVP (арендованный SITL) TCP-трафик передаётся в рамках localhost или VPN, исключая открытый канал.</w:t>
      </w:r>
    </w:p>
    <w:p>
      <w:pPr>
        <w:pStyle w:val="BodyText"/>
      </w:pPr>
      <w:r>
        <w:t xml:space="preserve">Угроза Н-МАВ-4 (DoS на радиоканал) относится к физическому уровню и не может быть полностью устранена программными средствами. Контрмерой является механизм возврата домой (RTH) при потере управляющего сигнала свыше 5 секунд — стандартная функция ArduPilot failsafe [33]. В рамках SafeAgriRoute тайм-аут настроен через параметр FS_SHORT_TIMEOUT = 1.5 сек для немедленного реагирования.</w:t>
      </w:r>
    </w:p>
    <w:p>
      <w:pPr>
        <w:pStyle w:val="BodyText"/>
      </w:pPr>
      <w:r>
        <w:rPr>
          <w:bCs/>
          <w:b/>
        </w:rPr>
        <w:t xml:space="preserve">Контрмеры против угроз веб-платформы</w:t>
      </w:r>
    </w:p>
    <w:p>
      <w:pPr>
        <w:pStyle w:val="BodyText"/>
      </w:pPr>
      <w:r>
        <w:t xml:space="preserve">Защита REST API реализована по схеме «defence in depth»: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Аутентификация и авторизация</w:t>
      </w:r>
      <w:r>
        <w:t xml:space="preserve">: JWT HS256 с 8-часовым TTL; bcrypt-хеш паролей с cost factor 12; ролевая модель operator/viewer с dependency-иерархией FastAPI.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Валидация входных данных</w:t>
      </w:r>
      <w:r>
        <w:t xml:space="preserve">: Pydantic v2 отклоняет любые запросы с неверными типами, отсутствующими обязательными полями или значениями вне диапазона [0,1] для severity. Это устраняет SQL-инъекции через API (все запросы к БД формируются через SQLAlchemy ORM с параметризацией).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Ограничение площади атаки</w:t>
      </w:r>
      <w:r>
        <w:t xml:space="preserve">: CORS настроен на разрешение только доверенного origin фронтенда; всё управление миссией доступно только аутентифицированным операторам.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Аудит действий</w:t>
      </w:r>
      <w:r>
        <w:t xml:space="preserve">: все операции планирования, старта и перепланирования логируются с JWT-subject (идентификатором пользователя) в стандартный вывод FastAPI, что обеспечивает прослеживаемость действий при расследовании инцидентов.</w:t>
      </w:r>
    </w:p>
    <w:p>
      <w:pPr>
        <w:pStyle w:val="BodyText"/>
      </w:pPr>
      <w:r>
        <w:t xml:space="preserve">Соответствие требованиям ГОСТ Р МЭК 62443-2-1-2015 [8] по управлению рисками ИБ промышленных систем автоматизации подтверждается наличием задокументированной модели угроз, реализованных контрмер и процедуры аудита действий пользователей.</w:t>
      </w:r>
    </w:p>
    <w:bookmarkEnd w:id="52"/>
    <w:bookmarkStart w:id="53" w:name="X9725b51125cd3c67a7425c523eeed294b6cc8e7"/>
    <w:p>
      <w:pPr>
        <w:pStyle w:val="4"/>
      </w:pPr>
      <w:r>
        <w:t xml:space="preserve">1.2.5 Обоснование выбора приоритетных угроз для MVP</w:t>
      </w:r>
    </w:p>
    <w:p>
      <w:pPr>
        <w:pStyle w:val="FirstParagraph"/>
      </w:pPr>
      <w:r>
        <w:t xml:space="preserve">При ограниченных ресурсах MVP критически важен правильный выбор угроз для приоритетной нейтрализации. Руководствуясь Методикой ФСТЭК России [20] и результатами матрицы рисков, для MVP SafeAgriRoute выбраны угрозы с уровнем риска КРИТИЧЕСКИЙ и ВЫСОКИЙ:</w:t>
      </w:r>
    </w:p>
    <w:p>
      <w:pPr>
        <w:numPr>
          <w:ilvl w:val="0"/>
          <w:numId w:val="1006"/>
        </w:numPr>
        <w:jc w:val="both"/>
      </w:pPr>
      <w:r>
        <w:rPr>
          <w:bCs/>
          <w:b/>
        </w:rPr>
        <w:t xml:space="preserve">УБИ.131 (ГНСС-глушение)</w:t>
      </w:r>
      <w:r>
        <w:t xml:space="preserve"> </w:t>
      </w:r>
      <w:r>
        <w:t xml:space="preserve">— КРИТИЧЕСКИЙ риск. Контрмера реализована на уровне алгоритма: RWVD превентивно обходит зоны глушения. Это единственный алгоритмический подход, не требующий специального оборудования на борту дрона.</w:t>
      </w:r>
    </w:p>
    <w:p>
      <w:pPr>
        <w:numPr>
          <w:ilvl w:val="0"/>
          <w:numId w:val="1006"/>
        </w:numPr>
        <w:jc w:val="both"/>
      </w:pPr>
      <w:r>
        <w:rPr>
          <w:bCs/>
          <w:b/>
        </w:rPr>
        <w:t xml:space="preserve">УБИ.014 (MAVLink-перехват/инъекция)</w:t>
      </w:r>
      <w:r>
        <w:t xml:space="preserve"> </w:t>
      </w:r>
      <w:r>
        <w:t xml:space="preserve">— КРИТИЧЕСКИЙ риск. Контрмера реализована активацией подписи пакетов MAVLink v2.0 и туннелированием через TLS.</w:t>
      </w:r>
    </w:p>
    <w:p>
      <w:pPr>
        <w:numPr>
          <w:ilvl w:val="0"/>
          <w:numId w:val="1006"/>
        </w:numPr>
        <w:jc w:val="both"/>
      </w:pPr>
      <w:r>
        <w:rPr>
          <w:bCs/>
          <w:b/>
        </w:rPr>
        <w:t xml:space="preserve">УБИ.037 (компрометация учётной записи)</w:t>
      </w:r>
      <w:r>
        <w:t xml:space="preserve"> </w:t>
      </w:r>
      <w:r>
        <w:t xml:space="preserve">— ВЫСОКИЙ риск. Контрмера: JWT + bcrypt + ролевая модель.</w:t>
      </w:r>
    </w:p>
    <w:p>
      <w:pPr>
        <w:numPr>
          <w:ilvl w:val="0"/>
          <w:numId w:val="1006"/>
        </w:numPr>
        <w:jc w:val="both"/>
      </w:pPr>
      <w:r>
        <w:rPr>
          <w:bCs/>
          <w:b/>
        </w:rPr>
        <w:t xml:space="preserve">УБИ.192 (GPS-спуфинг)</w:t>
      </w:r>
      <w:r>
        <w:t xml:space="preserve"> </w:t>
      </w:r>
      <w:r>
        <w:t xml:space="preserve">— ВЫСОКИЙ риск. Частичная контрмера: IMU-прокси в контуре обнаружения. Полная контрмера (многодатчиковая fusion) — в перспективной версии.</w:t>
      </w:r>
    </w:p>
    <w:p>
      <w:pPr>
        <w:pStyle w:val="FirstParagraph"/>
      </w:pPr>
      <w:r>
        <w:t xml:space="preserve">Угрозы с уровнем СРЕДНИЙ (УБИ.056 DDoS, УБИ.159 подмена карт NDVI) приняты в качестве остаточного риска с соответствующей записью в реестре рисков и включением в план мероприятий по развитию платформы.</w:t>
      </w:r>
    </w:p>
    <w:p>
      <w:pPr>
        <w:pStyle w:val="BodyText"/>
      </w:pPr>
      <w:r>
        <w:t xml:space="preserve">Данный подход соответствует принципу «риск-пропорциональности» — контрмеры применяются там, где ущерб превышает стоимость их реализации. Для агропредприятий среднего масштаба наиболее вероятными инцидентами являются случайные помехи ГНСС (бытовые глушители, нестабильность сигнала в приграничных районах) и компрометация учётных данных операторов — именно против этих угроз реализованы наиболее зрелые контрмеры.</w:t>
      </w:r>
    </w:p>
    <w:p>
      <w:pPr>
        <w:pStyle w:val="BodyText"/>
      </w:pPr>
      <w:r>
        <w:rPr>
          <w:bCs/>
          <w:b/>
        </w:rPr>
        <w:t xml:space="preserve">Таблица 1.5б — Матрица остаточного риска после внедрения контрмер SafeAgriRoute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Угроза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Исходный уровень риска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Реализованная контрмера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Остаточный уровень риска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ГНСС-глушение (УБИ.131)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КРИТИЧЕСКИЙ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RWVD превентивно обходит jammer-зоны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  <w:r>
              <w:t xml:space="preserve"> </w:t>
            </w:r>
            <w:r>
              <w:t xml:space="preserve">(нет полётов в зоне)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GPS-спуфинг (УБИ.192)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IMU-прокси, swarm-consensus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  <w:r>
              <w:t xml:space="preserve"> </w:t>
            </w:r>
            <w:r>
              <w:t xml:space="preserve">(эвристика, не ML)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 Hijacking (УБИ.014)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КРИТИЧЕСКИЙ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Packet Signing SHA-256 HMAC + TLS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 Injection (УБИ.014)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Packet Signing (replay-защита)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Replay-атака (УБИ.014)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48-бит timestamp в подписи MAVLink v2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Взлом учётной записи (УБИ.037)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JWT + bcrypt (cost 12) + ролевая модель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OWASP Top-10 (УБИ.037)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Pydantic v2 + SQLAlchemy ORM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Низкий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DoS на радиоканал (УБИ.131)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RTH failsafe ArduPilot (5 сек тайм-аут)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  <w:r>
              <w:t xml:space="preserve"> </w:t>
            </w:r>
            <w:r>
              <w:t xml:space="preserve">(физический уровень)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DDoS на облако (УБИ.056)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Принят как остаточный риск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Атака на RTK-станцию (УБИ.192)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Принят как остаточный риск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Подмена карт NDVI (УБИ.159)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Средний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Принят как остаточный риск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Средний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Заражение НСУ (УБИ.101)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Высокий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Принят как остаточный риск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Высокий</w:t>
            </w:r>
            <w:r>
              <w:t xml:space="preserve"> </w:t>
            </w:r>
            <w:r>
              <w:t xml:space="preserve">(нет endpoint-контроля)</w:t>
            </w:r>
          </w:p>
        </w:tc>
      </w:tr>
    </w:tbl>
    <w:p>
      <w:pPr>
        <w:pStyle w:val="BodyText"/>
      </w:pPr>
      <w:r>
        <w:t xml:space="preserve">После внедрения контрмер MVP уровень критических и высоких рисков снизился по 7 из 12 угроз. Наиболее значимые остаточные риски: GPS-спуфинг (из-за ограниченности эвристического контура) и заражение НСУ (endpoint-безопасность выходит за рамки платформенного уровня). Оба риска задокументированы в реестре рисков и включены в план разработки v2.0.</w:t>
      </w:r>
    </w:p>
    <w:bookmarkEnd w:id="53"/>
    <w:bookmarkStart w:id="54" w:name="сравнение-с-mitre-attck-for-ics"/>
    <w:p>
      <w:pPr>
        <w:pStyle w:val="4"/>
      </w:pPr>
      <w:r>
        <w:t xml:space="preserve">1.2.6 Сравнение с MITRE ATT&amp;CK for ICS</w:t>
      </w:r>
    </w:p>
    <w:p>
      <w:pPr>
        <w:pStyle w:val="FirstParagraph"/>
      </w:pPr>
      <w:r>
        <w:t xml:space="preserve">Идентифицированные угрозы SafeAgriRoute сопоставлены с международным реестром MITRE ATT&amp;CK for ICS, что подтверждает полноту охвата модели (таблица 1.5а).</w:t>
      </w:r>
    </w:p>
    <w:p>
      <w:pPr>
        <w:pStyle w:val="BodyText"/>
      </w:pPr>
      <w:r>
        <w:rPr>
          <w:bCs/>
          <w:b/>
        </w:rPr>
        <w:t xml:space="preserve">Таблица 1.5а — Сопоставление модели угроз SafeAgriRoute с MITRE ATT&amp;CK for 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Угроза SafeAgriRoute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БДУ ФСТЭК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MITRE ATT&amp;CK for ICS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Техника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ГНСС-глушение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УБИ.131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T0816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Device Restart/Shutdown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GPS-спуфинг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УБИ.192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T0856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Spoof Reporting Message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 Hijacking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T0855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Unauthorized Command Message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 Injection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T0836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Modify Parameter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DoS на радиоканал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УБИ.131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T0814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Denial of Service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Компрометация учётной записи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УБИ.037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T0859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Valid Accounts</w:t>
            </w:r>
          </w:p>
        </w:tc>
      </w:tr>
    </w:tbl>
    <w:p>
      <w:pPr>
        <w:pStyle w:val="BodyText"/>
      </w:pPr>
      <w:r>
        <w:t xml:space="preserve">Международная классификация не учитывает специфику российской нормативной базы — БДУ ФСТЭК даёт детализированные описания с указанием объектов воздействия, что соответствует требованиям ГОСТ Р 56939-2016 [32].</w:t>
      </w:r>
    </w:p>
    <w:bookmarkEnd w:id="54"/>
    <w:bookmarkEnd w:id="55"/>
    <w:bookmarkStart w:id="61" w:name="X0685489a81a0b875c86afb69bf4cfeb25dd601b"/>
    <w:p>
      <w:pPr>
        <w:pStyle w:val="3"/>
      </w:pPr>
      <w:r>
        <w:t xml:space="preserve">1.3 Проектирование архитектуры платформы SafeAgriRoute</w:t>
      </w:r>
    </w:p>
    <w:bookmarkStart w:id="56" w:name="общая-архитектура-и-модель-данных"/>
    <w:p>
      <w:pPr>
        <w:pStyle w:val="4"/>
      </w:pPr>
      <w:r>
        <w:t xml:space="preserve">1.3.1 Общая архитектура и модель данных</w:t>
      </w:r>
    </w:p>
    <w:p>
      <w:pPr>
        <w:pStyle w:val="FirstParagraph"/>
      </w:pPr>
      <w:r>
        <w:t xml:space="preserve">SafeAgriRoute построена на трёхуровневой клиент-серверной архитектуре с чётким разделением ответственности между слоями: браузерный SPA (Single Page Application) взаимодействует с бэкендом по REST/WebSocket, бэкенд инкапсулирует всю бизнес-логику и взаимодействует с СУБД и SITL-инстансами по MAVLink.</w:t>
      </w:r>
    </w:p>
    <w:p>
      <w:pPr>
        <w:pStyle w:val="BodyText"/>
      </w:pPr>
      <w:r>
        <w:rPr>
          <w:bCs/>
          <w:b/>
        </w:rPr>
        <w:t xml:space="preserve">Рисунок 1.1 — Концептуальная архитектура платформы SafeAgriRoute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Браузер оператора (React SPA)                          │</w:t>
      </w:r>
      <w:r>
        <w:br/>
      </w:r>
      <w:r>
        <w:rPr>
          <w:rStyle w:val="VerbatimChar"/>
        </w:rPr>
        <w:t xml:space="preserve">│  MissionPanel ──► POST /api/v1/mission/plan             │</w:t>
      </w:r>
      <w:r>
        <w:br/>
      </w:r>
      <w:r>
        <w:rPr>
          <w:rStyle w:val="VerbatimChar"/>
        </w:rPr>
        <w:t xml:space="preserve">│  MapArea      ◄── GET  /api/v1/mission/fields           │</w:t>
      </w:r>
      <w:r>
        <w:br/>
      </w:r>
      <w:r>
        <w:rPr>
          <w:rStyle w:val="VerbatimChar"/>
        </w:rPr>
        <w:t xml:space="preserve">│  TelemetryView ◄── WS  /ws/telemetry/mission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 REST / WebSocket</w:t>
      </w:r>
      <w:r>
        <w:br/>
      </w:r>
      <w:r>
        <w:rPr>
          <w:rStyle w:val="VerbatimChar"/>
        </w:rPr>
        <w:t xml:space="preserve">┌────────────────────────▼────────────────────────────────┐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FastAPI Backend (Python 3.11)                           │</w:t>
      </w:r>
      <w:r>
        <w:br/>
      </w:r>
      <w:r>
        <w:rPr>
          <w:rStyle w:val="VerbatimChar"/>
        </w:rPr>
        <w:t xml:space="preserve">│  ┌──────────────┐ ┌─────────────┐ ┌────────────────┐   │</w:t>
      </w:r>
      <w:r>
        <w:br/>
      </w:r>
      <w:r>
        <w:rPr>
          <w:rStyle w:val="VerbatimChar"/>
        </w:rPr>
        <w:t xml:space="preserve">│  │RoutingService│ │ risk_map.py │ │   replanner.py │   │</w:t>
      </w:r>
      <w:r>
        <w:br/>
      </w:r>
      <w:r>
        <w:rPr>
          <w:rStyle w:val="VerbatimChar"/>
        </w:rPr>
        <w:t xml:space="preserve">│  │ (Voronoi+CVRP│ │build_risk_  │ │ replan_on_loss │   │</w:t>
      </w:r>
      <w:r>
        <w:br/>
      </w:r>
      <w:r>
        <w:rPr>
          <w:rStyle w:val="VerbatimChar"/>
        </w:rPr>
        <w:t xml:space="preserve">│  │  OR-Tools)   │ │   map()     │ │ replan_on_zone │   │</w:t>
      </w:r>
      <w:r>
        <w:br/>
      </w:r>
      <w:r>
        <w:rPr>
          <w:rStyle w:val="VerbatimChar"/>
        </w:rPr>
        <w:t xml:space="preserve">│  └──────┬───────┘ └─────────────┘ └───────┬────────┘   │</w:t>
      </w:r>
      <w:r>
        <w:br/>
      </w:r>
      <w:r>
        <w:rPr>
          <w:rStyle w:val="VerbatimChar"/>
        </w:rPr>
        <w:t xml:space="preserve">│  ┌──────▼──────────────────────────────────▼──────────┐ │</w:t>
      </w:r>
      <w:r>
        <w:br/>
      </w:r>
      <w:r>
        <w:rPr>
          <w:rStyle w:val="VerbatimChar"/>
        </w:rPr>
        <w:t xml:space="preserve">│  │        MAVLinkService (pymavlink)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└──────────────────────┬──────────────────────────── ┘ │</w:t>
      </w:r>
      <w:r>
        <w:br/>
      </w:r>
      <w:r>
        <w:rPr>
          <w:rStyle w:val="VerbatimChar"/>
        </w:rPr>
        <w:t xml:space="preserve">└─────────────────────────┼───────────────────────────────┘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 MAVLink v2.0 TCP</w:t>
      </w:r>
      <w:r>
        <w:br/>
      </w:r>
      <w:r>
        <w:rPr>
          <w:rStyle w:val="VerbatimChar"/>
        </w:rPr>
        <w:t xml:space="preserve">┌─────────────────────────▼───────────────────────────────┐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ArduPilot SITL × 4 инстанса (порты 14550/60/70/80)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Слой данных (Entity Layer)</w:t>
      </w:r>
      <w:r>
        <w:t xml:space="preserve"> </w:t>
      </w:r>
      <w:r>
        <w:t xml:space="preserve">реализован на SQLAlchemy 2 (async) с ORM-моделями для четырёх ключевых сущностей.</w:t>
      </w:r>
    </w:p>
    <w:p>
      <w:pPr>
        <w:pStyle w:val="BodyText"/>
      </w:pPr>
      <w:r>
        <w:rPr>
          <w:bCs/>
          <w:b/>
        </w:rPr>
        <w:t xml:space="preserve">Таблица 1.6 — Модели данных (SQLAlchemy / PostGIS)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Ключевые поля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Связи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geometry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Geometry('POLYGON', srid=4326)</w:t>
            </w:r>
            <w:r>
              <w:t xml:space="preserve"> </w:t>
            </w:r>
            <w:r>
              <w:t xml:space="preserve">через GeoAlchemy2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RiskZone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severity_weight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Geometry('POLYGON', srid=4326)</w:t>
            </w:r>
            <w:r>
              <w:t xml:space="preserve">, type: jammer/restricted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M:1 к Field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Drone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battery_capacity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status: IDLE/ACTIVE/LOST/RTL/LANDED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role: operator/viewer; bcrypt-хеш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Выбор PostgreSQL с расширением PostGIS 3 обеспечивает нативное хранение геометрических объектов типа POLYGON в системе координат WGS 84 (EPSG:4326) и использование пространственных функций SQL: ST_AsGeoJSON() для сериализации геометрии в GeoJSON, ST_Contains() и ST_Intersects() для проверки пространственных отношений [31]. BaseRepository — генерик-класс с полным CRUD поверх AsyncSession, абстрагирующий доступ к базе от роутеров контроллеров. Каждый репозиторий расширяет базовый класс доменными запросами (например, UserRepository.get_by_email()).</w:t>
      </w:r>
    </w:p>
    <w:p>
      <w:pPr>
        <w:pStyle w:val="BodyText"/>
      </w:pPr>
      <w:r>
        <w:rPr>
          <w:bCs/>
          <w:b/>
        </w:rPr>
        <w:t xml:space="preserve">ER-диаграмма</w:t>
      </w:r>
      <w:r>
        <w:t xml:space="preserve"> </w:t>
      </w:r>
      <w:r>
        <w:t xml:space="preserve">базы данных включает четыре основных таблицы (fields, risk_zones, drones, users) и таблицу маршрутных точек (route_waypoints), создаваемую в оперативной памяти на время активной миссии. Геометрия полей и зон РЭБ хранится в колонках типа</w:t>
      </w:r>
      <w:r>
        <w:t xml:space="preserve"> </w:t>
      </w:r>
      <w:r>
        <w:rPr>
          <w:rStyle w:val="VerbatimChar"/>
        </w:rPr>
        <w:t xml:space="preserve">geometry(POLYGON, 4326)</w:t>
      </w:r>
      <w:r>
        <w:t xml:space="preserve">, что позволяет использовать GIST-индексы PostGIS для быстрого пространственного поиска. Запрос нахождения всех зон РЭБ, пересекающихся с полем, выполняется через</w:t>
      </w:r>
      <w:r>
        <w:t xml:space="preserve"> </w:t>
      </w:r>
      <w:r>
        <w:rPr>
          <w:rStyle w:val="VerbatimChar"/>
        </w:rPr>
        <w:t xml:space="preserve">ST_Intersects(field.geometry, risk_zone.geometry)</w:t>
      </w:r>
      <w:r>
        <w:t xml:space="preserve"> </w:t>
      </w:r>
      <w:r>
        <w:t xml:space="preserve">с использованием индекса за O(log n).</w:t>
      </w:r>
    </w:p>
    <w:bookmarkEnd w:id="56"/>
    <w:bookmarkStart w:id="57" w:name="api-контуры-и-websocket-телеметрия"/>
    <w:p>
      <w:pPr>
        <w:pStyle w:val="4"/>
      </w:pPr>
      <w:r>
        <w:t xml:space="preserve">1.3.2 API-контуры и WebSocket телеметрия</w:t>
      </w:r>
    </w:p>
    <w:p>
      <w:pPr>
        <w:pStyle w:val="FirstParagraph"/>
      </w:pPr>
      <w:r>
        <w:t xml:space="preserve">REST API реализован на FastAPI под базовым префиксом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 </w:t>
      </w:r>
      <w:r>
        <w:t xml:space="preserve">с разбивкой по роутерам. JWT-аутентификация (OAuth2 Password Flow) применяется ко всем защищённым эндпоинтам: токены подписываются по алгоритму HS256, срок жизни — 8 часов, секрет задаётся через переменную окружения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1.7 — Основные REST-эндпоинты SafeAgriRoute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Минимальная роль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Возврат JWT-токена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/api/v1/mission/fields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Список полей с геометрией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/api/v1/mission/risk-zones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Список зон РЭБ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/api/v1/mission/plan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Запуск алгоритма планирования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/api/v1/mission/start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Загрузка waypoints в SITL и старт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/api/v1/mission/{id}/simulate-loss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Симуляция потери дрона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/api/v1/mission/{id}/risk-zones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Добавление зоны РЭБ (replan-триггер)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/api/v1/mission/{id}/fusion-context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Регистрация контекста для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/api/v1/mission/{id}/packet-loss/simulate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Симуляция потерь пакетов MAVLink</w:t>
            </w:r>
          </w:p>
        </w:tc>
      </w:tr>
    </w:tbl>
    <w:p>
      <w:pPr>
        <w:pStyle w:val="BodyText"/>
      </w:pPr>
      <w:r>
        <w:t xml:space="preserve">Матрица доступа реализована через dependency-иерархию FastAPI:</w:t>
      </w:r>
      <w:r>
        <w:t xml:space="preserve"> </w:t>
      </w:r>
      <w:r>
        <w:rPr>
          <w:rStyle w:val="VerbatimChar"/>
        </w:rPr>
        <w:t xml:space="preserve">require_operator</w:t>
      </w:r>
      <w:r>
        <w:t xml:space="preserve"> </w:t>
      </w:r>
      <w:r>
        <w:t xml:space="preserve">(403 если</w:t>
      </w:r>
      <w:r>
        <w:t xml:space="preserve"> </w:t>
      </w:r>
      <w:r>
        <w:rPr>
          <w:rStyle w:val="VerbatimChar"/>
        </w:rPr>
        <w:t xml:space="preserve">role != "operator"</w:t>
      </w:r>
      <w:r>
        <w:t xml:space="preserve">) и</w:t>
      </w:r>
      <w:r>
        <w:t xml:space="preserve"> </w:t>
      </w:r>
      <w:r>
        <w:rPr>
          <w:rStyle w:val="VerbatimChar"/>
        </w:rPr>
        <w:t xml:space="preserve">require_viewer</w:t>
      </w:r>
      <w:r>
        <w:t xml:space="preserve"> </w:t>
      </w:r>
      <w:r>
        <w:t xml:space="preserve">(любая активная роль). Пароли хешируются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через прямой вызов</w:t>
      </w:r>
      <w:r>
        <w:t xml:space="preserve"> </w:t>
      </w:r>
      <w:r>
        <w:rPr>
          <w:rStyle w:val="VerbatimChar"/>
        </w:rPr>
        <w:t xml:space="preserve">bcrypt.hashpw/checkpw</w:t>
      </w:r>
      <w:r>
        <w:t xml:space="preserve"> </w:t>
      </w:r>
      <w:r>
        <w:t xml:space="preserve">без passlib — ввиду несовместимости passlib с bcrypt 5.x.</w:t>
      </w:r>
    </w:p>
    <w:p>
      <w:pPr>
        <w:pStyle w:val="BodyText"/>
      </w:pPr>
      <w:r>
        <w:rPr>
          <w:bCs/>
          <w:b/>
        </w:rPr>
        <w:t xml:space="preserve">WebSocket-контур телеметрии</w:t>
      </w:r>
      <w:r>
        <w:t xml:space="preserve"> </w:t>
      </w:r>
      <w:r>
        <w:t xml:space="preserve">реализован на базе нативных WebSocket FastAPI. Основной эндпоинт</w:t>
      </w:r>
      <w:r>
        <w:t xml:space="preserve"> </w:t>
      </w:r>
      <w:r>
        <w:rPr>
          <w:rStyle w:val="VerbatimChar"/>
        </w:rPr>
        <w:t xml:space="preserve">WS /ws/telemetry/mission</w:t>
      </w:r>
      <w:r>
        <w:t xml:space="preserve"> </w:t>
      </w:r>
      <w:r>
        <w:t xml:space="preserve">предоставляет унифицированный стриминговый поток, объединяющий несколько типов сообщений: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{"event": "telemetry",     "drone_id": N, "lat": ..., "lng": ..., "battery": ..., "status": "..."}</w:t>
      </w:r>
      <w:r>
        <w:br/>
      </w:r>
      <w:r>
        <w:rPr>
          <w:rStyle w:val="VerbatimChar"/>
        </w:rPr>
        <w:t xml:space="preserve">{"event": "fusion_by_drone","drone_id": N, "threat_score": ..., "jam_prob": ...}</w:t>
      </w:r>
      <w:r>
        <w:br/>
      </w:r>
      <w:r>
        <w:rPr>
          <w:rStyle w:val="VerbatimChar"/>
        </w:rPr>
        <w:t xml:space="preserve">{"event": "dynamic_zones", "zones": [...]}</w:t>
      </w:r>
      <w:r>
        <w:br/>
      </w:r>
      <w:r>
        <w:rPr>
          <w:rStyle w:val="VerbatimChar"/>
        </w:rPr>
        <w:t xml:space="preserve">{"event": "irm_update",    "irm": ..., "coverage": ...}</w:t>
      </w:r>
      <w:r>
        <w:br/>
      </w:r>
      <w:r>
        <w:rPr>
          <w:rStyle w:val="VerbatimChar"/>
        </w:rPr>
        <w:t xml:space="preserve">{"event": "drone_lost",    "drone_id": N}</w:t>
      </w:r>
    </w:p>
    <w:p>
      <w:pPr>
        <w:pStyle w:val="FirstParagraph"/>
      </w:pPr>
      <w:r>
        <w:t xml:space="preserve">Legacy-эндпоинты</w:t>
      </w:r>
      <w:r>
        <w:t xml:space="preserve"> </w:t>
      </w:r>
      <w:r>
        <w:rPr>
          <w:rStyle w:val="VerbatimChar"/>
        </w:rPr>
        <w:t xml:space="preserve">WS /ws/telemetry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WS /ws/telemetry/{drone_id}</w:t>
      </w:r>
      <w:r>
        <w:t xml:space="preserve"> </w:t>
      </w:r>
      <w:r>
        <w:t xml:space="preserve">сохранены для обратной совместимости. Задержка WebSocket-телеметрии не превышает 300 мс при частоте обновления 5 раз в секунду для каждого дрона.</w:t>
      </w:r>
    </w:p>
    <w:p>
      <w:pPr>
        <w:pStyle w:val="BodyText"/>
      </w:pPr>
      <w:r>
        <w:t xml:space="preserve">В режиме симуляции (когда</w:t>
      </w:r>
      <w:r>
        <w:t xml:space="preserve"> </w:t>
      </w:r>
      <w:r>
        <w:rPr>
          <w:rStyle w:val="VerbatimChar"/>
        </w:rPr>
        <w:t xml:space="preserve">SITL_HOSTS</w:t>
      </w:r>
      <w:r>
        <w:t xml:space="preserve"> </w:t>
      </w:r>
      <w:r>
        <w:t xml:space="preserve">пуст или все подключения упали)</w:t>
      </w:r>
      <w:r>
        <w:t xml:space="preserve"> </w:t>
      </w:r>
      <w:r>
        <w:rPr>
          <w:rStyle w:val="VerbatimChar"/>
        </w:rPr>
        <w:t xml:space="preserve">simulation_mode=True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read_telemetry_loop</w:t>
      </w:r>
      <w:r>
        <w:t xml:space="preserve"> </w:t>
      </w:r>
      <w:r>
        <w:t xml:space="preserve">возвращает позиции, интерполируя по сохранённым точкам маршрута с шагом 0,1 сек. Это обеспечивает возможность демонстрации без физического подключения к ArduPilot SITL.</w:t>
      </w:r>
    </w:p>
    <w:bookmarkEnd w:id="57"/>
    <w:bookmarkStart w:id="58" w:name="mavlink-интеграция"/>
    <w:p>
      <w:pPr>
        <w:pStyle w:val="4"/>
      </w:pPr>
      <w:r>
        <w:t xml:space="preserve">1.3.3 MAVLink-интеграция</w:t>
      </w:r>
    </w:p>
    <w:p>
      <w:pPr>
        <w:pStyle w:val="FirstParagraph"/>
      </w:pPr>
      <w:r>
        <w:t xml:space="preserve">Интеграция с дронами реализована через библиотеку pymavlink 2.x. Синглтон</w:t>
      </w:r>
      <w:r>
        <w:t xml:space="preserve"> </w:t>
      </w:r>
      <w:r>
        <w:rPr>
          <w:rStyle w:val="VerbatimChar"/>
        </w:rPr>
        <w:t xml:space="preserve">mavlink_service</w:t>
      </w:r>
      <w:r>
        <w:t xml:space="preserve"> </w:t>
      </w:r>
      <w:r>
        <w:t xml:space="preserve">инициализируется при старте FastAPI через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-контекстный менеджер и подключается к дронам из переменной окружения</w:t>
      </w:r>
      <w:r>
        <w:t xml:space="preserve"> </w:t>
      </w:r>
      <w:r>
        <w:rPr>
          <w:rStyle w:val="VerbatimChar"/>
        </w:rPr>
        <w:t xml:space="preserve">SITL_HOSTS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Жизненный цикл MAVLink-соединения: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FastAPI startup (lifespan)</w:t>
      </w:r>
      <w:r>
        <w:br/>
      </w:r>
      <w:r>
        <w:rPr>
          <w:rStyle w:val="VerbatimChar"/>
        </w:rPr>
        <w:t xml:space="preserve">  → mavlink_service.connect_all()</w:t>
      </w:r>
      <w:r>
        <w:br/>
      </w:r>
      <w:r>
        <w:rPr>
          <w:rStyle w:val="VerbatimChar"/>
        </w:rPr>
        <w:t xml:space="preserve">      ├── TCP socket check (1 сек тайм-аут) для каждого хоста</w:t>
      </w:r>
      <w:r>
        <w:br/>
      </w:r>
      <w:r>
        <w:rPr>
          <w:rStyle w:val="VerbatimChar"/>
        </w:rPr>
        <w:t xml:space="preserve">      ├── pymavlink connection (retries=3, timeout=5)</w:t>
      </w:r>
      <w:r>
        <w:br/>
      </w:r>
      <w:r>
        <w:rPr>
          <w:rStyle w:val="VerbatimChar"/>
        </w:rPr>
        <w:t xml:space="preserve">      ├── recv_match(HEARTBEAT, timeout=10) — проверка живости</w:t>
      </w:r>
      <w:r>
        <w:br/>
      </w:r>
      <w:r>
        <w:rPr>
          <w:rStyle w:val="VerbatimChar"/>
        </w:rPr>
        <w:t xml:space="preserve">      ├── OK  → connections[drone_id] = conn, status=ACTIVE</w:t>
      </w:r>
      <w:r>
        <w:br/>
      </w:r>
      <w:r>
        <w:rPr>
          <w:rStyle w:val="VerbatimChar"/>
        </w:rPr>
        <w:t xml:space="preserve">      └── FAIL → simulation_mode=True</w:t>
      </w:r>
      <w:r>
        <w:br/>
      </w:r>
      <w:r>
        <w:br/>
      </w:r>
      <w:r>
        <w:rPr>
          <w:rStyle w:val="VerbatimChar"/>
        </w:rPr>
        <w:t xml:space="preserve">Фоновый reconnect loop (каждые 10 сек):</w:t>
      </w:r>
      <w:r>
        <w:br/>
      </w:r>
      <w:r>
        <w:rPr>
          <w:rStyle w:val="VerbatimChar"/>
        </w:rPr>
        <w:t xml:space="preserve">  → для каждого LOST/DISCONNECTED дрона — повторное подключение</w:t>
      </w:r>
      <w:r>
        <w:br/>
      </w:r>
      <w:r>
        <w:br/>
      </w:r>
      <w:r>
        <w:rPr>
          <w:rStyle w:val="VerbatimChar"/>
        </w:rPr>
        <w:t xml:space="preserve">read_telemetry_loop() (async-генератор):</w:t>
      </w:r>
      <w:r>
        <w:br/>
      </w:r>
      <w:r>
        <w:rPr>
          <w:rStyle w:val="VerbatimChar"/>
        </w:rPr>
        <w:t xml:space="preserve">  → читает GLOBAL_POSITION_INT, BATTERY_STATUS, HEARTBEAT каждые 200 мс</w:t>
      </w:r>
      <w:r>
        <w:br/>
      </w:r>
      <w:r>
        <w:rPr>
          <w:rStyle w:val="VerbatimChar"/>
        </w:rPr>
        <w:t xml:space="preserve">  → при heartbeat timeout &gt;5 сек: status → LOST, StopAsyncIteration</w:t>
      </w:r>
    </w:p>
    <w:p>
      <w:pPr>
        <w:pStyle w:val="FirstParagraph"/>
      </w:pPr>
      <w:r>
        <w:t xml:space="preserve">Все blocking-вызовы pymavlink выполняются в</w:t>
      </w:r>
      <w:r>
        <w:t xml:space="preserve"> </w:t>
      </w:r>
      <w:r>
        <w:rPr>
          <w:rStyle w:val="VerbatimChar"/>
        </w:rPr>
        <w:t xml:space="preserve">asyncio.run_in_executor(None, ...)</w:t>
      </w:r>
      <w:r>
        <w:t xml:space="preserve"> </w:t>
      </w:r>
      <w:r>
        <w:t xml:space="preserve">— event loop не блокируется. Загрузка waypoints выполняется через последовательность:</w:t>
      </w:r>
      <w:r>
        <w:t xml:space="preserve"> </w:t>
      </w:r>
      <w:r>
        <w:rPr>
          <w:rStyle w:val="VerbatimChar"/>
        </w:rPr>
        <w:t xml:space="preserve">MISSION_CLEAR_ALL → MISSION_COUNT → MISSION_ITEM_INT × N → MAV_CMD_MISSION_START</w:t>
      </w:r>
      <w:r>
        <w:t xml:space="preserve">. Обновление миссии в полёте (для replanner) реализовано аналогично: очистка текущей миссии и загрузка нового набора waypoints без посадки дрона.</w:t>
      </w:r>
    </w:p>
    <w:bookmarkEnd w:id="58"/>
    <w:bookmarkStart w:id="59" w:name="обоснование-выбора-технологий"/>
    <w:p>
      <w:pPr>
        <w:pStyle w:val="4"/>
      </w:pPr>
      <w:r>
        <w:t xml:space="preserve">1.3.4 Обоснование выбора технологий</w:t>
      </w:r>
    </w:p>
    <w:p>
      <w:pPr>
        <w:pStyle w:val="FirstParagraph"/>
      </w:pPr>
      <w:r>
        <w:t xml:space="preserve">При разработке SafeAgriRoute был проведён сравнительный анализ технологических альтернатив.</w:t>
      </w:r>
    </w:p>
    <w:p>
      <w:pPr>
        <w:pStyle w:val="BodyText"/>
      </w:pPr>
      <w:r>
        <w:rPr>
          <w:bCs/>
          <w:b/>
        </w:rPr>
        <w:t xml:space="preserve">Таблица 1.8 — Обоснование архитектурных решений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Выбрано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Альтернатива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Обоснование выбора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Web-фреймворк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Flask, Django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Нативная async-поддержка, автогенерация OpenAPI, Pydantic v2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СУБД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PostgreSQL + PostGIS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MySQL + GIS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Зрелая поддержка geom-типов, GIST-индексы, ST_AsGeoJSON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SQLAlchemy 2 async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asyncpg напрямую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Абстракция CRUD, совместимость с GeoAlchemy2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Пространственная геометрия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Shapely 2.0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GDAL Python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Pythonic API, высокая скорость, нативная поддержка Numpy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Граф и оптимизация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NetworkX + OR-Tools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SciPy, CPLEX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OR-Tools: промышленное качество, бесплатная лицензия; NetworkX: простота API и воспроизводимая модель графовых структур [41]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MAVLink-клиент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pymavlink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DroneKit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Актуальность (DroneKit deprecated), поддержка ArduPilot/PX4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React + Leaflet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Angular + OpenLayers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Экосистема react-leaflet, малый bundle size, поддержка draw-плагина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Управление состоянием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Zustand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Redux Toolkit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Минимальный boilerplate, высокая производительность при частых обновлениях позиций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Контейнеризация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Docker + docker-compose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k8s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Простота для MVP, одна команда развёртывания</w:t>
            </w:r>
          </w:p>
        </w:tc>
      </w:tr>
    </w:tbl>
    <w:bookmarkEnd w:id="59"/>
    <w:bookmarkStart w:id="60" w:name="Xc4f08b27efd35e59f7527b6a3e6f664c2650b31"/>
    <w:p>
      <w:pPr>
        <w:pStyle w:val="4"/>
      </w:pPr>
      <w:r>
        <w:t xml:space="preserve">1.3.5 Развёртывание, аутентификация и архитектура фронтенда</w:t>
      </w:r>
    </w:p>
    <w:p>
      <w:pPr>
        <w:pStyle w:val="FirstParagraph"/>
      </w:pPr>
      <w:r>
        <w:t xml:space="preserve">Вся инфраструктура описана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и запускается командой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Состав сервисов:</w:t>
      </w:r>
      <w:r>
        <w:t xml:space="preserve"> </w:t>
      </w:r>
      <w:r>
        <w:rPr>
          <w:bCs/>
          <w:b/>
        </w:rPr>
        <w:t xml:space="preserve">postgres</w:t>
      </w:r>
      <w:r>
        <w:t xml:space="preserve"> </w:t>
      </w:r>
      <w:r>
        <w:t xml:space="preserve">(PostgreSQL 15 + PostGIS 3.3),</w:t>
      </w:r>
      <w:r>
        <w:t xml:space="preserve"> </w:t>
      </w:r>
      <w:r>
        <w:rPr>
          <w:bCs/>
          <w:b/>
        </w:rPr>
        <w:t xml:space="preserve">backend</w:t>
      </w:r>
      <w:r>
        <w:t xml:space="preserve"> </w:t>
      </w:r>
      <w:r>
        <w:t xml:space="preserve">(FastAPI + Uvicorn, Python 3.11),</w:t>
      </w:r>
      <w:r>
        <w:t xml:space="preserve"> </w:t>
      </w:r>
      <w:r>
        <w:rPr>
          <w:bCs/>
          <w:b/>
        </w:rPr>
        <w:t xml:space="preserve">frontend</w:t>
      </w:r>
      <w:r>
        <w:t xml:space="preserve"> </w:t>
      </w:r>
      <w:r>
        <w:t xml:space="preserve">(React SPA, Vite dev-server, порт 5173),</w:t>
      </w:r>
      <w:r>
        <w:t xml:space="preserve"> </w:t>
      </w:r>
      <w:r>
        <w:rPr>
          <w:bCs/>
          <w:b/>
        </w:rPr>
        <w:t xml:space="preserve">sitl</w:t>
      </w:r>
      <w:r>
        <w:t xml:space="preserve"> </w:t>
      </w:r>
      <w:r>
        <w:t xml:space="preserve">(опционально — 4 инстанса ArduPilot SITL, порты 14550–14553). Секреты (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SITL_HOSTS</w:t>
      </w:r>
      <w:r>
        <w:t xml:space="preserve">) передаются через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не включённый в VCS.</w:t>
      </w:r>
    </w:p>
    <w:p>
      <w:pPr>
        <w:pStyle w:val="BodyText"/>
      </w:pPr>
      <w:r>
        <w:t xml:space="preserve">Аутентификация реализована по схеме OAuth2 Password Flow + JWT HS256. Токен содержит claims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(TTL 8 ч). Роль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получает полный доступ к миссиям, роль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только чтение. Пароли хранятся в виде bcrypt-хешей (cost factor 12). PostGIS не экспонирует порт 5432 наружу — SQL-инъекции через сетевой уровень исключены.</w:t>
      </w:r>
    </w:p>
    <w:p>
      <w:pPr>
        <w:pStyle w:val="BodyText"/>
      </w:pPr>
      <w:r>
        <w:t xml:space="preserve">Фронтенд использует Zustand для глобального состояния (</w:t>
      </w:r>
      <w:r>
        <w:rPr>
          <w:rStyle w:val="VerbatimChar"/>
        </w:rPr>
        <w:t xml:space="preserve">plannedRoutes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fusionByDrone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dynamicJammerZones</w:t>
      </w:r>
      <w:r>
        <w:t xml:space="preserve">) и react-leaflet для карты. Компонент</w:t>
      </w:r>
      <w:r>
        <w:t xml:space="preserve"> </w:t>
      </w:r>
      <w:r>
        <w:rPr>
          <w:rStyle w:val="VerbatimChar"/>
        </w:rPr>
        <w:t xml:space="preserve">MapArea.tsx</w:t>
      </w:r>
      <w:r>
        <w:t xml:space="preserve"> </w:t>
      </w:r>
      <w:r>
        <w:t xml:space="preserve">рендерит слои полей, зон РЭБ, маршрутов и позиций дронов (CircleMarker, ~10 обновлений/сек). DrawControl позволяет оператору рисовать новые зоны РЭБ прямо на карте — полигон немедленно отправляется через</w:t>
      </w:r>
      <w:r>
        <w:t xml:space="preserve"> </w:t>
      </w:r>
      <w:r>
        <w:rPr>
          <w:rStyle w:val="VerbatimChar"/>
        </w:rPr>
        <w:t xml:space="preserve">POST /api/v1/mission/{id}/risk-zones</w:t>
      </w:r>
      <w:r>
        <w:t xml:space="preserve">. WebSocket-хуки реализуют экспоненциальный backoff при переподключении.</w:t>
      </w:r>
    </w:p>
    <w:bookmarkEnd w:id="60"/>
    <w:bookmarkEnd w:id="61"/>
    <w:bookmarkStart w:id="74" w:name="X4b60891ce4d3a68f043fe6ef844885a435e97e9"/>
    <w:p>
      <w:pPr>
        <w:pStyle w:val="3"/>
      </w:pPr>
      <w:r>
        <w:t xml:space="preserve">1.4 Алгоритмы маршрутизации и динамического перепланирования</w:t>
      </w:r>
    </w:p>
    <w:bookmarkStart w:id="62" w:name="Xd3c975741b969086cc215203c1f052f9ec8c3a6"/>
    <w:p>
      <w:pPr>
        <w:pStyle w:val="4"/>
      </w:pPr>
      <w:r>
        <w:t xml:space="preserve">1.4.1 Постановка задачи маршрутизации группы БПЛА</w:t>
      </w:r>
    </w:p>
    <w:p>
      <w:pPr>
        <w:pStyle w:val="FirstParagraph"/>
      </w:pPr>
      <w:r>
        <w:t xml:space="preserve">Задача планирования маршрутов группы агро-БПЛА формализуется как задача маршрутизации транспортных средств с ёмкостными ограничениями (Capacitated Vehicle Routing Problem, CVRP) в риск-взвешенном пространстве [24, 25]; для задач опрыскивания БПЛА в произвольных полигонах актуальность coverage path planning и учёта геометрии поля дополнительно подтверждается современными исследованиями [40].</w:t>
      </w:r>
    </w:p>
    <w:p>
      <w:pPr>
        <w:pStyle w:val="BodyText"/>
      </w:pPr>
      <w:r>
        <w:rPr>
          <w:bCs/>
          <w:b/>
        </w:rPr>
        <w:t xml:space="preserve">Формальная постановка.</w:t>
      </w:r>
      <w:r>
        <w:t xml:space="preserve"> </w:t>
      </w:r>
      <w:r>
        <w:t xml:space="preserve">Пусть задан полигон поля F ⊂ R² и множество зон РЭБ {Z₁, …, Zₘ} с параметрами severity. Имеется k дронов с параметрами {battery_i, speed_i}. Требуется разбить множество целевых точек P = {p₁, …, pₙ} (дискретная аппроксимация поля) на k непересекающихся кластеров C₁, …, Cₖ и для каждого кластера построить маршрут (гамильтонов путь) τᵢ, минимизирующий взвешенную длину пути:</w:t>
      </w:r>
    </w:p>
    <w:p>
      <w:pPr>
        <w:pStyle w:val="BodyText"/>
      </w:pPr>
      <ns2:oMathPara>
        <ns2:oMathParaPr>
          <ns2:jc ns2:val="center"/>
        </ns2:oMathParaPr>
        <ns2:oMath>
          <ns2:nary>
            <ns2:naryPr>
              <ns2:chr ns2:val="∑"/>
              <ns2:limLoc ns2:val="undOvr"/>
              <ns2:subHide ns2:val="off"/>
              <ns2:supHide ns2:val="on"/>
            </ns2:naryPr>
            <ns2:sub>
              <ns2:r>
                <ns2:t>i</ns2:t>
              </ns2:r>
            </ns2:sub>
            <ns2:sup>
              <ns2:r>
                <ns2:t>​</ns2:t>
              </ns2:r>
            </ns2:sup>
            <ns2:e>
              <ns2:nary>
                <ns2:naryPr>
                  <ns2:chr ns2:val="∑"/>
                  <ns2:limLoc ns2:val="undOvr"/>
                  <ns2:subHide ns2:val="off"/>
                  <ns2:supHide ns2:val="on"/>
                </ns2:naryPr>
                <ns2:sub>
                  <ns2:d>
                    <ns2:dPr>
                      <ns2:begChr ns2:val="("/>
                      <ns2:endChr ns2:val=")"/>
                      <ns2:sepChr ns2:val=""/>
                      <ns2:grow/>
                    </ns2:dPr>
                    <ns2:e>
                      <ns2:r>
                        <ns2:t>a</ns2:t>
                      </ns2:r>
                      <ns2:r>
                        <ns2:rPr>
                          <ns2:sty ns2:val="p"/>
                        </ns2:rPr>
                        <ns2:t>,</ns2:t>
                      </ns2:r>
                      <ns2:r>
                        <ns2:t>b</ns2:t>
                      </ns2:r>
                    </ns2:e>
                  </ns2:d>
                  <ns2:r>
                    <ns2:rPr>
                      <ns2:sty ns2:val="p"/>
                    </ns2:rPr>
                    <ns2:t>∈</ns2:t>
                  </ns2:r>
                  <ns2:sSub>
                    <ns2:e>
                      <ns2:r>
                        <ns2:t>τ</ns2:t>
                      </ns2:r>
                    </ns2:e>
                    <ns2:sub>
                      <ns2:r>
                        <ns2:t>i</ns2:t>
                      </ns2:r>
                    </ns2:sub>
                  </ns2:sSub>
                </ns2:sub>
                <ns2:sup>
                  <ns2:r>
                    <ns2:t>​</ns2:t>
                  </ns2:r>
                </ns2:sup>
                <ns2:e>
                  <ns2:r>
                    <ns2:t>w</ns2:t>
                  </ns2:r>
                </ns2:e>
              </ns2:nary>
            </ns2:e>
          </ns2:nary>
          <ns2:d>
            <ns2:dPr>
              <ns2:begChr ns2:val="("/>
              <ns2:endChr ns2:val=")"/>
              <ns2:sepChr ns2:val=""/>
              <ns2:grow/>
            </ns2:dPr>
            <ns2:e>
              <ns2:r>
                <ns2:t>a</ns2:t>
              </ns2:r>
              <ns2:r>
                <ns2:rPr>
                  <ns2:sty ns2:val="p"/>
                </ns2:rPr>
                <ns2:t>,</ns2:t>
              </ns2:r>
              <ns2:r>
                <ns2:t>b</ns2:t>
              </ns2:r>
            </ns2:e>
          </ns2:d>
          <ns2:r>
            <ns2:rPr>
              <ns2:sty ns2:val="p"/>
            </ns2:rPr>
            <ns2:t>→</ns2:t>
          </ns2:r>
          <ns2:r>
            <ns2:rPr>
              <ns2:sty ns2:val="p"/>
            </ns2:rPr>
            <ns2:t>min</ns2:t>
          </ns2:r>
        </ns2:oMath>
      </ns2:oMathPara>
    </w:p>
    <w:p>
      <w:pPr>
        <w:pStyle w:val="FirstParagraph"/>
      </w:pPr>
      <w:r>
        <w:t xml:space="preserve">где взвешенная стоимость ребра:</w:t>
      </w:r>
    </w:p>
    <w:p>
      <w:pPr>
        <w:pStyle w:val="BodyText"/>
      </w:pPr>
      <ns2:oMathPara>
        <ns2:oMathParaPr>
          <ns2:jc ns2:val="center"/>
        </ns2:oMathParaPr>
        <ns2:oMath>
          <ns2:r>
            <ns2:t>w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a</ns2:t>
              </ns2:r>
              <ns2:r>
                <ns2:rPr>
                  <ns2:sty ns2:val="p"/>
                </ns2:rPr>
                <ns2:t>,</ns2:t>
              </ns2:r>
              <ns2:r>
                <ns2:t>b</ns2:t>
              </ns2:r>
            </ns2:e>
          </ns2:d>
          <ns2:r>
            <ns2:rPr>
              <ns2:sty ns2:val="p"/>
            </ns2:rPr>
            <ns2:t>=</ns2:t>
          </ns2:r>
          <ns2:r>
            <ns2:rPr>
              <ns2:sty ns2:val="p"/>
            </ns2:rPr>
            <ns2:t>d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t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t>a</ns2:t>
              </ns2:r>
              <ns2:r>
                <ns2:rPr>
                  <ns2:sty ns2:val="p"/>
                </ns2:rPr>
                <ns2:t>,</ns2:t>
              </ns2:r>
              <ns2:r>
                <ns2:t>b</ns2:t>
              </ns2:r>
            </ns2:e>
          </ns2:d>
          <ns2:r>
            <ns2:rPr>
              <ns2:sty ns2:val="p"/>
            </ns2:rPr>
            <ns2:t>+</ns2:t>
          </ns2:r>
          <ns2:nary>
            <ns2:naryPr>
              <ns2:chr ns2:val="∑"/>
              <ns2:limLoc ns2:val="undOvr"/>
              <ns2:subHide ns2:val="off"/>
              <ns2:supHide ns2:val="on"/>
            </ns2:naryPr>
            <ns2:sub>
              <ns2:sSub>
                <ns2:e>
                  <ns2:r>
                    <ns2:t>Z</ns2:t>
                  </ns2:r>
                </ns2:e>
                <ns2:sub>
                  <ns2:r>
                    <ns2:t>j</ns2:t>
                  </ns2:r>
                </ns2:sub>
              </ns2:sSub>
              <ns2:r>
                <ns2:rPr>
                  <ns2:sty ns2:val="p"/>
                </ns2:rPr>
                <ns2:t>:</ns2:t>
              </ns2:r>
              <ns2:r>
                <ns2:t> </ns2:t>
              </ns2:r>
              <ns2:r>
                <ns2:rPr>
                  <ns2:sty ns2:val="p"/>
                </ns2:rPr>
                <ns2:t>L</ns2:t>
              </ns2:r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n</ns2:t>
              </ns2:r>
              <ns2:r>
                <ns2:rPr>
                  <ns2:sty ns2:val="p"/>
                </ns2:rPr>
                <ns2:t>e</ns2:t>
              </ns2:r>
              <ns2:r>
                <ns2:rPr>
                  <ns2:sty ns2:val="p"/>
                </ns2:rPr>
                <ns2:t>S</ns2:t>
              </ns2:r>
              <ns2:r>
                <ns2:rPr>
                  <ns2:sty ns2:val="p"/>
                </ns2:rPr>
                <ns2:t>t</ns2:t>
              </ns2:r>
              <ns2:r>
                <ns2:rPr>
                  <ns2:sty ns2:val="p"/>
                </ns2:rPr>
                <ns2:t>r</ns2:t>
              </ns2:r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n</ns2:t>
              </ns2:r>
              <ns2:r>
                <ns2:rPr>
                  <ns2:sty ns2:val="p"/>
                </ns2:rPr>
                <ns2:t>g</ns2:t>
              </ns2:r>
              <ns2:d>
                <ns2:dPr>
                  <ns2:begChr ns2:val="("/>
                  <ns2:endChr ns2:val=")"/>
                  <ns2:sepChr ns2:val=""/>
                  <ns2:grow/>
                </ns2:dPr>
                <ns2:e>
                  <ns2:r>
                    <ns2:t>a</ns2:t>
                  </ns2:r>
                  <ns2:r>
                    <ns2:rPr>
                      <ns2:sty ns2:val="p"/>
                    </ns2:rPr>
                    <ns2:t>,</ns2:t>
                  </ns2:r>
                  <ns2:r>
                    <ns2:t>b</ns2:t>
                  </ns2:r>
                </ns2:e>
              </ns2:d>
              <ns2:r>
                <ns2:t> </ns2:t>
              </ns2:r>
              <ns2:r>
                <ns2:rPr>
                  <ns2:sty ns2:val="p"/>
                </ns2:rPr>
                <ns2:t>∩</ns2:t>
              </ns2:r>
              <ns2:r>
                <ns2:t> </ns2:t>
              </ns2:r>
              <ns2:sSub>
                <ns2:e>
                  <ns2:r>
                    <ns2:t>Z</ns2:t>
                  </ns2:r>
                </ns2:e>
                <ns2:sub>
                  <ns2:r>
                    <ns2:t>j</ns2:t>
                  </ns2:r>
                </ns2:sub>
              </ns2:sSub>
              <ns2:r>
                <ns2:rPr>
                  <ns2:sty ns2:val="p"/>
                </ns2:rPr>
                <ns2:t>≠</ns2:t>
              </ns2:r>
              <ns2:r>
                <ns2:rPr>
                  <ns2:sty ns2:val="p"/>
                </ns2:rPr>
                <ns2:t>⌀</ns2:t>
              </ns2:r>
            </ns2:sub>
            <ns2:sup>
              <ns2:r>
                <ns2:t>​</ns2:t>
              </ns2:r>
            </ns2:sup>
            <ns2:e>
              <ns2:sSub>
                <ns2:e>
                  <ns2:r>
                    <ns2:rPr>
                      <ns2:sty ns2:val="p"/>
                    </ns2:rPr>
                    <ns2:t>s</ns2:t>
                  </ns2:r>
                  <ns2:r>
                    <ns2:rPr>
                      <ns2:sty ns2:val="p"/>
                    </ns2:rPr>
                    <ns2:t>e</ns2:t>
                  </ns2:r>
                  <ns2:r>
                    <ns2:rPr>
                      <ns2:sty ns2:val="p"/>
                    </ns2:rPr>
                    <ns2:t>v</ns2:t>
                  </ns2:r>
                  <ns2:r>
                    <ns2:rPr>
                      <ns2:sty ns2:val="p"/>
                    </ns2:rPr>
                    <ns2:t>e</ns2:t>
                  </ns2:r>
                  <ns2:r>
                    <ns2:rPr>
                      <ns2:sty ns2:val="p"/>
                    </ns2:rPr>
                    <ns2:t>r</ns2:t>
                  </ns2:r>
                  <ns2:r>
                    <ns2:rPr>
                      <ns2:sty ns2:val="p"/>
                    </ns2:rPr>
                    <ns2:t>i</ns2:t>
                  </ns2:r>
                  <ns2:r>
                    <ns2:rPr>
                      <ns2:sty ns2:val="p"/>
                    </ns2:rPr>
                    <ns2:t>t</ns2:t>
                  </ns2:r>
                  <ns2:r>
                    <ns2:rPr>
                      <ns2:sty ns2:val="p"/>
                    </ns2:rPr>
                    <ns2:t>y</ns2:t>
                  </ns2:r>
                </ns2:e>
                <ns2:sub>
                  <ns2:r>
                    <ns2:t>j</ns2:t>
                  </ns2:r>
                </ns2:sub>
              </ns2:sSub>
            </ns2:e>
          </ns2:nary>
          <ns2:r>
            <ns2:rPr>
              <ns2:sty ns2:val="p"/>
            </ns2:rPr>
            <ns2:t>⋅</ns2:t>
          </ns2:r>
          <ns2:r>
            <ns2:t>500</ns2:t>
          </ns2:r>
        </ns2:oMath>
      </ns2:oMathPara>
    </w:p>
    <w:p>
      <w:pPr>
        <w:pStyle w:val="FirstParagraph"/>
      </w:pPr>
      <w:r>
        <w:rPr>
          <w:bCs/>
          <w:b/>
        </w:rPr>
        <w:t xml:space="preserve">Ограничения:</w:t>
      </w:r>
      <w:r>
        <w:t xml:space="preserve"> </w:t>
      </w:r>
      <w:r>
        <w:t xml:space="preserve">- Каждая точка p ∈ P  {p: R(p) = 1} включена ровно в один кластер</w:t>
      </w:r>
      <w:r>
        <w:t xml:space="preserve"> </w:t>
      </w:r>
      <w:r>
        <w:t xml:space="preserve">- Суммарная нагрузка кластера Cᵢ пропорциональна ресурсу дрона i:</w:t>
      </w:r>
      <w:r>
        <w:t xml:space="preserve"> </w:t>
      </w:r>
      <w:r>
        <w:rPr>
          <w:rStyle w:val="VerbatimChar"/>
        </w:rPr>
        <w:t xml:space="preserve">Σ_{p∈Cᵢ} w(p) / battery_i ≤ 1</w:t>
      </w:r>
      <w:r>
        <w:t xml:space="preserve"> </w:t>
      </w:r>
      <w:r>
        <w:t xml:space="preserve">- Время планирования ≤ 5 секунд для |P| ≤ 500 и k ≤ 4</w:t>
      </w:r>
    </w:p>
    <w:p>
      <w:pPr>
        <w:pStyle w:val="BodyText"/>
      </w:pPr>
      <w:r>
        <w:t xml:space="preserve">Задача CVRP в общем случае является NP-трудной [24]. Для её решения применяется двухэтапный подход: на первом этапе — риск-взвешенный Voronoi для кластеризации, на втором — OR-Tools для оптимизации порядка обхода внутри каждого кластера.</w:t>
      </w:r>
    </w:p>
    <w:p>
      <w:pPr>
        <w:pStyle w:val="BodyText"/>
      </w:pPr>
      <w:r>
        <w:t xml:space="preserve">Сравнение подходов к решению VRP для агрономических приложений приведено в таблице 1.9.</w:t>
      </w:r>
    </w:p>
    <w:p>
      <w:pPr>
        <w:pStyle w:val="BodyText"/>
      </w:pPr>
      <w:r>
        <w:rPr>
          <w:bCs/>
          <w:b/>
        </w:rPr>
        <w:t xml:space="preserve">Таблица 1.9 — Сравнение методов решения задачи маршрутизации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Сложность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Качество решения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Применимость к MVP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Полный перебор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O(n!)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Оптимальное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Нет (n &gt; 15 недопустимо)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Генетический алгоритм (GA)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O(gen × pop × n²)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Близкое к оптимальному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Частично (сложнее настройка)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Метаэвристика PSO/GWO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O(iter × swarm × n²)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Хорошее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Частично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OR-Tools PATH_CHEAPEST_ARC + 2-opt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O(n²)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~85–95 % от оптимального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Жадный NN-алгоритм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O(n²)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~70–80 % от оптимального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Да (для replanner)</w:t>
            </w:r>
          </w:p>
        </w:tc>
      </w:tr>
    </w:tbl>
    <w:p>
      <w:pPr>
        <w:pStyle w:val="BodyText"/>
      </w:pPr>
      <w:r>
        <w:t xml:space="preserve">OR-Tools выбран как наиболее сбалансированное решение: промышленное качество оптимизации, бесплатная Apache 2.0 лицензия, активная поддержка Google, простая Python-интеграция [29]. Классическая эвристика Кристофидеса остаётся важной теоретической основой приближённых решений метрической задачи коммивояжёра [30], однако для MVP предпочтительнее готовая реализация OR-Tools с детерминированным временем выполнения.</w:t>
      </w:r>
    </w:p>
    <w:bookmarkEnd w:id="62"/>
    <w:bookmarkStart w:id="63" w:name="построение-дискретной-карты-рисков"/>
    <w:p>
      <w:pPr>
        <w:pStyle w:val="4"/>
      </w:pPr>
      <w:r>
        <w:t xml:space="preserve">1.4.2 Построение дискретной карты рисков</w:t>
      </w:r>
    </w:p>
    <w:p>
      <w:pPr>
        <w:pStyle w:val="FirstParagraph"/>
      </w:pPr>
      <w:r>
        <w:t xml:space="preserve">Алгоритм</w:t>
      </w:r>
      <w:r>
        <w:t xml:space="preserve"> </w:t>
      </w:r>
      <w:r>
        <w:rPr>
          <w:rStyle w:val="VerbatimChar"/>
        </w:rPr>
        <w:t xml:space="preserve">build_risk_map()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risk_map.py</w:t>
      </w:r>
      <w:r>
        <w:t xml:space="preserve"> </w:t>
      </w:r>
      <w:r>
        <w:t xml:space="preserve">строит дискретную numpy-сетку риска над областью поля.</w:t>
      </w:r>
    </w:p>
    <w:p>
      <w:pPr>
        <w:pStyle w:val="BodyText"/>
      </w:pPr>
      <w:r>
        <w:rPr>
          <w:bCs/>
          <w:b/>
        </w:rPr>
        <w:t xml:space="preserve">Псевдокод алгоритма build_risk_map: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Вход: polygon (Shapely Polygon), risk_zones (список RiskZone), grid_step=0.0002°</w:t>
      </w:r>
      <w:r>
        <w:br/>
      </w:r>
      <w:r>
        <w:br/>
      </w:r>
      <w:r>
        <w:rPr>
          <w:rStyle w:val="VerbatimChar"/>
        </w:rPr>
        <w:t xml:space="preserve">1. bbox = polygon.bounds  # (min_lng, min_lat, max_lng, max_lat)</w:t>
      </w:r>
      <w:r>
        <w:br/>
      </w:r>
      <w:r>
        <w:rPr>
          <w:rStyle w:val="VerbatimChar"/>
        </w:rPr>
        <w:t xml:space="preserve">2. Строим координатные сетки:</w:t>
      </w:r>
      <w:r>
        <w:br/>
      </w:r>
      <w:r>
        <w:rPr>
          <w:rStyle w:val="VerbatimChar"/>
        </w:rPr>
        <w:t xml:space="preserve">   lats = arange(min_lat, max_lat, grid_step)</w:t>
      </w:r>
      <w:r>
        <w:br/>
      </w:r>
      <w:r>
        <w:rPr>
          <w:rStyle w:val="VerbatimChar"/>
        </w:rPr>
        <w:t xml:space="preserve">   lngs = arange(min_lng, max_lng, grid_step)</w:t>
      </w:r>
      <w:r>
        <w:br/>
      </w:r>
      <w:r>
        <w:rPr>
          <w:rStyle w:val="VerbatimChar"/>
        </w:rPr>
        <w:t xml:space="preserve">3. Инициализируем risk_grid = zeros(len(lats), len(lngs))</w:t>
      </w:r>
      <w:r>
        <w:br/>
      </w:r>
      <w:r>
        <w:rPr>
          <w:rStyle w:val="VerbatimChar"/>
        </w:rPr>
        <w:t xml:space="preserve">4. Для каждой зоны zone in risk_zones:</w:t>
      </w:r>
      <w:r>
        <w:br/>
      </w:r>
      <w:r>
        <w:rPr>
          <w:rStyle w:val="VerbatimChar"/>
        </w:rPr>
        <w:t xml:space="preserve">   Для каждой ячейки (i,j):</w:t>
      </w:r>
      <w:r>
        <w:br/>
      </w:r>
      <w:r>
        <w:rPr>
          <w:rStyle w:val="VerbatimChar"/>
        </w:rPr>
        <w:t xml:space="preserve">     point = Point(lngs[j], lats[i])</w:t>
      </w:r>
      <w:r>
        <w:br/>
      </w:r>
      <w:r>
        <w:rPr>
          <w:rStyle w:val="VerbatimChar"/>
        </w:rPr>
        <w:t xml:space="preserve">     если zone.type == "jammer":</w:t>
      </w:r>
      <w:r>
        <w:br/>
      </w:r>
      <w:r>
        <w:rPr>
          <w:rStyle w:val="VerbatimChar"/>
        </w:rPr>
        <w:t xml:space="preserve">       dist = point.distance(zone.geometry.centroid)</w:t>
      </w:r>
      <w:r>
        <w:br/>
      </w:r>
      <w:r>
        <w:rPr>
          <w:rStyle w:val="VerbatimChar"/>
        </w:rPr>
        <w:t xml:space="preserve">       r = severity × max(0, (0.005 − dist) / 0.005)</w:t>
      </w:r>
      <w:r>
        <w:br/>
      </w:r>
      <w:r>
        <w:rPr>
          <w:rStyle w:val="VerbatimChar"/>
        </w:rPr>
        <w:t xml:space="preserve">     иначе (restricted):</w:t>
      </w:r>
      <w:r>
        <w:br/>
      </w:r>
      <w:r>
        <w:rPr>
          <w:rStyle w:val="VerbatimChar"/>
        </w:rPr>
        <w:t xml:space="preserve">       r = severity если point.within(zone.geometry) else 0</w:t>
      </w:r>
      <w:r>
        <w:br/>
      </w:r>
      <w:r>
        <w:rPr>
          <w:rStyle w:val="VerbatimChar"/>
        </w:rPr>
        <w:t xml:space="preserve">     risk_grid[i,j] = min(1.0, risk_grid[i,j] + r)</w:t>
      </w:r>
      <w:r>
        <w:br/>
      </w:r>
      <w:r>
        <w:rPr>
          <w:rStyle w:val="VerbatimChar"/>
        </w:rPr>
        <w:t xml:space="preserve">5. Формируем list of (Point, risk) для ячеек внутри polygon:</w:t>
      </w:r>
      <w:r>
        <w:br/>
      </w:r>
      <w:r>
        <w:rPr>
          <w:rStyle w:val="VerbatimChar"/>
        </w:rPr>
        <w:t xml:space="preserve">   points = [(Point(lng,lat), risk) for (i,j) if polygon.contains(Point(lng,lat))]</w:t>
      </w:r>
      <w:r>
        <w:br/>
      </w:r>
      <w:r>
        <w:rPr>
          <w:rStyle w:val="VerbatimChar"/>
        </w:rPr>
        <w:t xml:space="preserve">6. Возврат: points, risk_grid</w:t>
      </w:r>
      <w:r>
        <w:br/>
      </w:r>
      <w:r>
        <w:br/>
      </w:r>
      <w:r>
        <w:rPr>
          <w:rStyle w:val="VerbatimChar"/>
        </w:rPr>
        <w:t xml:space="preserve">Сложность: O(|lats| × |lngs| × |risk_zones|) = O(G² × M),</w:t>
      </w:r>
      <w:r>
        <w:br/>
      </w:r>
      <w:r>
        <w:rPr>
          <w:rStyle w:val="VerbatimChar"/>
        </w:rPr>
        <w:t xml:space="preserve">  где G = размер стороны сетки, M = число зон</w:t>
      </w:r>
    </w:p>
    <w:p>
      <w:pPr>
        <w:pStyle w:val="FirstParagraph"/>
      </w:pPr>
      <w:r>
        <w:t xml:space="preserve">Для поля 500 га с шагом 0,0002° (~22 м) сетка содержит порядка 67 × 45 = 3015 ячеек. При двух зонах РЭБ время расчёта составляет 8–15 мс на стандартном серверном CPU, что укладывается в бюджет 5 секунд на полное планирование.</w:t>
      </w:r>
    </w:p>
    <w:p>
      <w:pPr>
        <w:pStyle w:val="BodyText"/>
      </w:pPr>
      <w:r>
        <w:t xml:space="preserve">Ключевой особенностью является</w:t>
      </w:r>
      <w:r>
        <w:t xml:space="preserve"> </w:t>
      </w:r>
      <w:r>
        <w:rPr>
          <w:bCs/>
          <w:b/>
        </w:rPr>
        <w:t xml:space="preserve">линейное затухание</w:t>
      </w:r>
      <w:r>
        <w:t xml:space="preserve"> </w:t>
      </w:r>
      <w:r>
        <w:t xml:space="preserve">риска от границы jammer-зоны в радиусе 0,005° (~500 м). Это физически обоснованно: интенсивность электромагнитного излучения спадает как 1/r², однако для простоты расчёта и консервативности оценки применяется линейная модель, которая overestimates риск вблизи границы зоны, что предпочтительно с точки зрения безопасности. Аналогичный подход к дискретизации пространства рисков описан в работах по покрытию маршрутами с ограничениями [27].</w:t>
      </w:r>
    </w:p>
    <w:bookmarkEnd w:id="63"/>
    <w:bookmarkStart w:id="64" w:name="risk-weighted-voronoi-decomposition"/>
    <w:p>
      <w:pPr>
        <w:pStyle w:val="4"/>
      </w:pPr>
      <w:r>
        <w:t xml:space="preserve">1.4.3 Risk-Weighted Voronoi Decomposition</w:t>
      </w:r>
    </w:p>
    <w:p>
      <w:pPr>
        <w:pStyle w:val="FirstParagraph"/>
      </w:pPr>
      <w:r>
        <w:t xml:space="preserve">Классический алгоритм k-средних делит поле на k равных по числу точек кластеров без учёта рисковой обстановки. Risk-Weighted Voronoi Decomposition — модификация алгоритма Ллойда [36], опирающаяся на свойства диаграмм Вороного как базовой структуры вычислительной геометрии [26]. Каждой точке присваивается вес, обратно пропорциональный «безопасности» ячейки. Это «отталкивает» центроиды от опасных зон, создавая кластеры, концентрирующиеся в безопасных областях поля.</w:t>
      </w:r>
    </w:p>
    <w:p>
      <w:pPr>
        <w:pStyle w:val="BodyText"/>
      </w:pPr>
      <w:r>
        <w:rPr>
          <w:bCs/>
          <w:b/>
        </w:rPr>
        <w:t xml:space="preserve">Псевдокод Risk-Weighted Voronoi (файл routing_service.py):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Вход: points = [(p₁, w₁), ..., (pₙ, wₙ)], k (число дронов), max_iter=50</w:t>
      </w:r>
      <w:r>
        <w:br/>
      </w:r>
      <w:r>
        <w:br/>
      </w:r>
      <w:r>
        <w:rPr>
          <w:rStyle w:val="VerbatimChar"/>
        </w:rPr>
        <w:t xml:space="preserve">1. Инициализация: выбрать k начальных центроидов равномерно</w:t>
      </w:r>
      <w:r>
        <w:br/>
      </w:r>
      <w:r>
        <w:rPr>
          <w:rStyle w:val="VerbatimChar"/>
        </w:rPr>
        <w:t xml:space="preserve">   внутри bbox поля (фильтр: только точки внутри polygon)</w:t>
      </w:r>
      <w:r>
        <w:br/>
      </w:r>
      <w:r>
        <w:br/>
      </w:r>
      <w:r>
        <w:rPr>
          <w:rStyle w:val="VerbatimChar"/>
        </w:rPr>
        <w:t xml:space="preserve">2. Итерации (до сходимости или max_iter):</w:t>
      </w:r>
      <w:r>
        <w:br/>
      </w:r>
      <w:r>
        <w:rPr>
          <w:rStyle w:val="VerbatimChar"/>
        </w:rPr>
        <w:t xml:space="preserve">   a. НАЗНАЧЕНИЕ: для каждой точки pᵢ найти ближайший центроид:</w:t>
      </w:r>
      <w:r>
        <w:br/>
      </w:r>
      <w:r>
        <w:rPr>
          <w:rStyle w:val="VerbatimChar"/>
        </w:rPr>
        <w:t xml:space="preserve">      cluster[i] = argmin_c dist(pᵢ, centroid_c)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b. ОБНОВЛЕНИЕ: сдвинуть центроид во взвешенный центр кластера:</w:t>
      </w:r>
      <w:r>
        <w:br/>
      </w:r>
      <w:r>
        <w:rPr>
          <w:rStyle w:val="VerbatimChar"/>
        </w:rPr>
        <w:t xml:space="preserve">      centroid_c = Σ_{i∈cluster_c} (pᵢ × wᵢ) / Σ_{i∈cluster_c} wᵢ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c. Проверить сходимость: если max |centroid_new − centroid_old| &lt; ε → стоп</w:t>
      </w:r>
      <w:r>
        <w:br/>
      </w:r>
      <w:r>
        <w:br/>
      </w:r>
      <w:r>
        <w:rPr>
          <w:rStyle w:val="VerbatimChar"/>
        </w:rPr>
        <w:t xml:space="preserve">3. Возврат: списки кластеров [[p_i, ...] for each cluster]</w:t>
      </w:r>
      <w:r>
        <w:br/>
      </w:r>
      <w:r>
        <w:br/>
      </w:r>
      <w:r>
        <w:rPr>
          <w:rStyle w:val="VerbatimChar"/>
        </w:rPr>
        <w:t xml:space="preserve">Сложность: O(max_iter × n × k)</w:t>
      </w:r>
      <w:r>
        <w:br/>
      </w:r>
      <w:r>
        <w:rPr>
          <w:rStyle w:val="VerbatimChar"/>
        </w:rPr>
        <w:t xml:space="preserve">  n = число точек, k = число дронов, max_iter = 50</w:t>
      </w:r>
      <w:r>
        <w:br/>
      </w:r>
      <w:r>
        <w:rPr>
          <w:rStyle w:val="VerbatimChar"/>
        </w:rPr>
        <w:t xml:space="preserve">  Для n=3000, k=4: ~600 000 операций за итерацию, сходимость за 15–30 итераций</w:t>
      </w:r>
    </w:p>
    <w:p>
      <w:pPr>
        <w:pStyle w:val="FirstParagraph"/>
      </w:pPr>
      <w:r>
        <w:rPr>
          <w:bCs/>
          <w:b/>
        </w:rPr>
        <w:t xml:space="preserve">Назначение дронов на кластеры (жадный алгоритм):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zone_load_c = Σ_{p∈cluster_c} w(p)   # суммарная риск-нагрузка кластера</w:t>
      </w:r>
      <w:r>
        <w:br/>
      </w:r>
      <w:r>
        <w:rPr>
          <w:rStyle w:val="VerbatimChar"/>
        </w:rPr>
        <w:t xml:space="preserve">drone_resource_d = battery_d × max_speed_d</w:t>
      </w:r>
      <w:r>
        <w:br/>
      </w:r>
      <w:r>
        <w:br/>
      </w:r>
      <w:r>
        <w:rPr>
          <w:rStyle w:val="VerbatimChar"/>
        </w:rPr>
        <w:t xml:space="preserve">Сортировать кластеры по zone_load (убывание)</w:t>
      </w:r>
      <w:r>
        <w:br/>
      </w:r>
      <w:r>
        <w:rPr>
          <w:rStyle w:val="VerbatimChar"/>
        </w:rPr>
        <w:t xml:space="preserve">Сортировать дроны по drone_resource (убывание)</w:t>
      </w:r>
      <w:r>
        <w:br/>
      </w:r>
      <w:r>
        <w:rPr>
          <w:rStyle w:val="VerbatimChar"/>
        </w:rPr>
        <w:t xml:space="preserve">Назначить i-й дрон на i-й кластер (жадное сопоставление)</w:t>
      </w:r>
    </w:p>
    <w:p>
      <w:pPr>
        <w:pStyle w:val="FirstParagraph"/>
      </w:pPr>
      <w:r>
        <w:t xml:space="preserve">Жадное назначение соответствует эвристическому решению задачи о назначении (Assignment Problem) за O(k log k). Точное решение через венгерский алгоритм имеет сложность O(k³), однако при k ≤ 4 разница незначительна, а жадное решение обеспечивает качество ≥ 90 % от оптимального для симметричных распределений нагрузки.</w:t>
      </w:r>
    </w:p>
    <w:p>
      <w:pPr>
        <w:pStyle w:val="BodyText"/>
      </w:pPr>
      <w:r>
        <w:t xml:space="preserve">На рисунке 1.2 концептуально иллюстрируется разница между классическим k-means и Risk-Weighted Voronoi: при наличии jammer-зоны в центре поля классический алгоритм включает опасные точки в кластеры, тогда как RWVD формирует кластеры, огибающие зону с обеих сторон.</w:t>
      </w:r>
    </w:p>
    <w:bookmarkEnd w:id="64"/>
    <w:bookmarkStart w:id="65" w:name="Xb04e05bc02b4834d64155003ce68057a82742b9"/>
    <w:p>
      <w:pPr>
        <w:pStyle w:val="4"/>
      </w:pPr>
      <w:r>
        <w:t xml:space="preserve">1.4.4 Penalty-граф и решение CVRP через OR-Tools</w:t>
      </w:r>
    </w:p>
    <w:p>
      <w:pPr>
        <w:pStyle w:val="FirstParagraph"/>
      </w:pPr>
      <w:r>
        <w:t xml:space="preserve">После разбивки поля на кластеры для каждого дрона решается задача TSP (Travelling Salesman Problem) — оптимального обхода точек его кластера.</w:t>
      </w:r>
    </w:p>
    <w:p>
      <w:pPr>
        <w:pStyle w:val="BodyText"/>
      </w:pPr>
      <w:r>
        <w:rPr>
          <w:bCs/>
          <w:b/>
        </w:rPr>
        <w:t xml:space="preserve">Построение penalty-графа (файл routing_service.py):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CommentTok"/>
        </w:rPr>
        <w:t xml:space="preserve"># Полный граф на NetworkX</w:t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nx.complete_graph(n_points)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edge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G.edges():</w:t>
      </w:r>
      <w:r>
        <w:br/>
      </w:r>
      <w:r>
        <w:rPr>
          <w:rStyle w:val="NormalTok"/>
        </w:rPr>
        <w:t xml:space="preserve">    base_dist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euclidean_distance(points[a], points[b])</w:t>
      </w:r>
      <w:r>
        <w:br/>
      </w:r>
      <w:r>
        <w:rPr>
          <w:rStyle w:val="NormalTok"/>
        </w:rPr>
        <w:t xml:space="preserve">    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LineString([points[a], points[b]])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zone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risk_zones: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segment.intersects(zone.geometry):</w:t>
      </w:r>
      <w:r>
        <w:br/>
      </w:r>
      <w:r>
        <w:rPr>
          <w:rStyle w:val="NormalTok"/>
        </w:rPr>
        <w:t xml:space="preserve">            penalty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zone.severity_weight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G[a][b][</w:t>
      </w:r>
      <w:r>
        <w:rPr>
          <w:rStyle w:val="StringTok"/>
        </w:rPr>
        <w:t xml:space="preserve">'weight'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base_dist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penalty</w:t>
      </w:r>
    </w:p>
    <w:p>
      <w:pPr>
        <w:pStyle w:val="FirstParagraph"/>
      </w:pPr>
      <w:r>
        <w:t xml:space="preserve">Коэффициент 500 в формуле штрафа выбран экспериментально: он обеспечивает, что любой объездной маршрут через безопасную зону (даже 3–4× длиннее прямого) остаётся дешевле прямого пролёта через опасный участок с severity ≥ 0,1. При severity = 1,0 штраф за прямой пролёт составляет 500 единиц, тогда как типичное евклидово расстояние между соседними точками сетки составляет 0,0002° ≈ 22 м = 0,0002 в единицах координат. Таким образом, отношение штраф/расстояние ~ 500/0,0002 = 2 500 000 — математически делающее пролёт через зону практически невозможным. Использование неотрицательных весов сохраняет совместимость с классической постановкой задач поиска кратчайших путей во взвешенных графах, начиная с алгоритма Дейкстры [35], хотя в MVP оптимизация порядка обхода выполняется через OR-Tools.</w:t>
      </w:r>
    </w:p>
    <w:p>
      <w:pPr>
        <w:pStyle w:val="BodyText"/>
      </w:pPr>
      <w:r>
        <w:rPr>
          <w:bCs/>
          <w:b/>
        </w:rPr>
        <w:t xml:space="preserve">Решение CVRP через OR-Tools: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ortools.constraint_solver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routing_enums_pb2, pywrapcp</w:t>
      </w:r>
      <w:r>
        <w:br/>
      </w:r>
      <w:r>
        <w:br/>
      </w:r>
      <w:r>
        <w:rPr>
          <w:rStyle w:val="CommentTok"/>
        </w:rPr>
        <w:t xml:space="preserve"># Масштабирование float → int (OR-Tools требует целочисленные веса)</w:t>
      </w:r>
      <w:r>
        <w:br/>
      </w:r>
      <w:r>
        <w:rPr>
          <w:rStyle w:val="NormalTok"/>
        </w:rPr>
        <w:t xml:space="preserve">SCALER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100_000_000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(G[i][j][</w:t>
      </w:r>
      <w:r>
        <w:rPr>
          <w:rStyle w:val="StringTok"/>
        </w:rPr>
        <w:t xml:space="preserve">'weight'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SCALER)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br/>
      </w:r>
      <w:r>
        <w:rPr>
          <w:rStyle w:val="NormalTok"/>
        </w:rPr>
        <w:t xml:space="preserve">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pywrapcp.RoutingIndexManager(n,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depot = 0</w:t>
      </w:r>
      <w:r>
        <w:br/>
      </w:r>
      <w:r>
        <w:rPr>
          <w:rStyle w:val="NormalTok"/>
        </w:rPr>
        <w:t xml:space="preserve">routing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pywrapcp.RoutingModel(manager)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distance_callback(from_i, to_i):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dist_matrix[manager.IndexToNode(from_i)][manager.IndexToNode(to_i)]</w:t>
      </w:r>
      <w:r>
        <w:br/>
      </w:r>
      <w:r>
        <w:br/>
      </w:r>
      <w:r>
        <w:rPr>
          <w:rStyle w:val="NormalTok"/>
        </w:rPr>
        <w:t xml:space="preserve">transit_cb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routing.RegisterTransitCallback(distance_callback)</w:t>
      </w:r>
      <w:r>
        <w:br/>
      </w:r>
      <w:r>
        <w:rPr>
          <w:rStyle w:val="NormalTok"/>
        </w:rPr>
        <w:t xml:space="preserve">routing.SetArcCostEvaluatorOfAllVehicles(transit_cb)</w:t>
      </w:r>
      <w:r>
        <w:br/>
      </w:r>
      <w:r>
        <w:br/>
      </w:r>
      <w:r>
        <w:rPr>
          <w:rStyle w:val="NormalTok"/>
        </w:rPr>
        <w:t xml:space="preserve">search_params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pywrapcp.DefaultRoutingSearchParameters()</w:t>
      </w:r>
      <w:r>
        <w:br/>
      </w:r>
      <w:r>
        <w:rPr>
          <w:rStyle w:val="NormalTok"/>
        </w:rPr>
        <w:t xml:space="preserve">search_params.first_solution_strategy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routing_enums_pb2.FirstSolutionStrategy.PATH_CHEAPEST_ARC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routing.SolveWithParameters(search_params)</w:t>
      </w:r>
      <w:r>
        <w:br/>
      </w:r>
      <w:r>
        <w:rPr>
          <w:rStyle w:val="CommentTok"/>
        </w:rPr>
        <w:t xml:space="preserve"># Извлечение порядка обхода → List[RoutePoint]</w:t>
      </w:r>
    </w:p>
    <w:p>
      <w:pPr>
        <w:pStyle w:val="FirstParagraph"/>
      </w:pPr>
      <w:r>
        <w:t xml:space="preserve">Эвристика</w:t>
      </w:r>
      <w:r>
        <w:t xml:space="preserve"> </w:t>
      </w:r>
      <w:r>
        <w:rPr>
          <w:rStyle w:val="VerbatimChar"/>
        </w:rPr>
        <w:t xml:space="preserve">PATH_CHEAPEST_ARC</w:t>
      </w:r>
      <w:r>
        <w:t xml:space="preserve"> </w:t>
      </w:r>
      <w:r>
        <w:t xml:space="preserve">реализует жадный старт: на каждом шаге выбирается ребро с минимальным весом от текущей точки. Затем применяется локальное улучшение 2-opt. Асимптотическая сложность: O(n²) для жадного построения + O(n² × iter) для 2-opt. Для n = 67 точек (один кластер из 4 при 3000 точек поля) время решения TSP составляет 8–15 мс.</w:t>
      </w:r>
    </w:p>
    <w:p>
      <w:pPr>
        <w:pStyle w:val="BodyText"/>
      </w:pPr>
      <w:r>
        <w:rPr>
          <w:bCs/>
          <w:b/>
        </w:rPr>
        <w:t xml:space="preserve">Таблица 1.10 — Характеристики алгоритма OR-Tools для планирования маршрутов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Значение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Эвристика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PATH_CHEAPEST_ARC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Жадный старт + 2-opt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Масштабирование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100 000 000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float → int для OR-Tools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решения TSP (n=67)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8–15 мс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AMD EPYC, один поток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полного планирования (4 дрона, 500 га)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≤ 5 сек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Включает risk_map + Voronoi + 4×TSP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Гарантия оптимальности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85–95 %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Относительно точного решения</w:t>
            </w:r>
          </w:p>
        </w:tc>
      </w:tr>
    </w:tbl>
    <w:bookmarkEnd w:id="65"/>
    <w:bookmarkStart w:id="68" w:name="Xfa6c2cf5d1d2096b15b8a5c4591d5275bbd9a5a"/>
    <w:p>
      <w:pPr>
        <w:pStyle w:val="4"/>
      </w:pPr>
      <w:r>
        <w:t xml:space="preserve">1.4.5 Динамическое перепланирование (replanner.py)</w:t>
      </w:r>
    </w:p>
    <w:p>
      <w:pPr>
        <w:pStyle w:val="FirstParagraph"/>
      </w:pPr>
      <w:r>
        <w:t xml:space="preserve">Алгоритм динамического перепланирования реализует два независимых сценария, обе ветки которых сходятся к одному выходному формату — обновлённым спискам</w:t>
      </w:r>
      <w:r>
        <w:t xml:space="preserve"> </w:t>
      </w:r>
      <w:r>
        <w:rPr>
          <w:rStyle w:val="VerbatimChar"/>
        </w:rPr>
        <w:t xml:space="preserve">RoutePoint</w:t>
      </w:r>
      <w:r>
        <w:t xml:space="preserve"> </w:t>
      </w:r>
      <w:r>
        <w:t xml:space="preserve">для каждого активного дрона.</w:t>
      </w:r>
    </w:p>
    <w:bookmarkStart w:id="66" w:name="X61b8a9eb12a271be73326ac4baf925092ac96d4"/>
    <w:p>
      <w:pPr>
        <w:pStyle w:val="5"/>
      </w:pPr>
      <w:r>
        <w:t xml:space="preserve">Сценарий A — потеря дрона (</w:t>
      </w:r>
      <w:r>
        <w:rPr>
          <w:rStyle w:val="VerbatimChar"/>
        </w:rPr>
        <w:t xml:space="preserve">replan_on_drone_loss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Триггер:</w:t>
      </w:r>
      <w:r>
        <w:t xml:space="preserve"> </w:t>
      </w:r>
      <w:r>
        <w:t xml:space="preserve">heartbeat пропал &gt;5 секунд →</w:t>
      </w:r>
      <w:r>
        <w:t xml:space="preserve"> </w:t>
      </w:r>
      <w:r>
        <w:rPr>
          <w:rStyle w:val="VerbatimChar"/>
        </w:rPr>
        <w:t xml:space="preserve">status = LOST</w:t>
      </w:r>
      <w:r>
        <w:t xml:space="preserve">.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Вход: active_drones, lost_drone_id, mission_state (текущие позиции и маршруты)</w:t>
      </w:r>
      <w:r>
        <w:br/>
      </w:r>
      <w:r>
        <w:br/>
      </w:r>
      <w:r>
        <w:rPr>
          <w:rStyle w:val="VerbatimChar"/>
        </w:rPr>
        <w:t xml:space="preserve">1. Определить непокрытые waypoints потерянного дрона:</w:t>
      </w:r>
      <w:r>
        <w:br/>
      </w:r>
      <w:r>
        <w:rPr>
          <w:rStyle w:val="VerbatimChar"/>
        </w:rPr>
        <w:t xml:space="preserve">   uncovered = route[lost_drone][current_index:]</w:t>
      </w:r>
      <w:r>
        <w:br/>
      </w:r>
      <w:r>
        <w:br/>
      </w:r>
      <w:r>
        <w:rPr>
          <w:rStyle w:val="VerbatimChar"/>
        </w:rPr>
        <w:t xml:space="preserve">2. Вычислить residual_capacity для активных дронов:</w:t>
      </w:r>
      <w:r>
        <w:br/>
      </w:r>
      <w:r>
        <w:rPr>
          <w:rStyle w:val="VerbatimChar"/>
        </w:rPr>
        <w:t xml:space="preserve">   cap[d] = battery_remaining[d] × max_speed[d]</w:t>
      </w:r>
      <w:r>
        <w:br/>
      </w:r>
      <w:r>
        <w:br/>
      </w:r>
      <w:r>
        <w:rPr>
          <w:rStyle w:val="VerbatimChar"/>
        </w:rPr>
        <w:t xml:space="preserve">3. Вычислить нормированные веса:</w:t>
      </w:r>
      <w:r>
        <w:br/>
      </w:r>
      <w:r>
        <w:rPr>
          <w:rStyle w:val="VerbatimChar"/>
        </w:rPr>
        <w:t xml:space="preserve">   weight[d] = cap[d] / Σ cap[d]</w:t>
      </w:r>
      <w:r>
        <w:br/>
      </w:r>
      <w:r>
        <w:br/>
      </w:r>
      <w:r>
        <w:rPr>
          <w:rStyle w:val="VerbatimChar"/>
        </w:rPr>
        <w:t xml:space="preserve">4. Для каждого активного дрона d:</w:t>
      </w:r>
      <w:r>
        <w:br/>
      </w:r>
      <w:r>
        <w:rPr>
          <w:rStyle w:val="VerbatimChar"/>
        </w:rPr>
        <w:t xml:space="preserve">   a. n_take = round(weight[d] × len(uncovered))</w:t>
      </w:r>
      <w:r>
        <w:br/>
      </w:r>
      <w:r>
        <w:rPr>
          <w:rStyle w:val="VerbatimChar"/>
        </w:rPr>
        <w:t xml:space="preserve">   b. Сортировать uncovered по расстоянию от last_pos[d]</w:t>
      </w:r>
      <w:r>
        <w:br/>
      </w:r>
      <w:r>
        <w:rPr>
          <w:rStyle w:val="VerbatimChar"/>
        </w:rPr>
        <w:t xml:space="preserve">   c. assigned[d] = uncovered[:n_take] (ближайшие n_take точек)</w:t>
      </w:r>
      <w:r>
        <w:br/>
      </w:r>
      <w:r>
        <w:rPr>
          <w:rStyle w:val="VerbatimChar"/>
        </w:rPr>
        <w:t xml:space="preserve">   d. merged[d] = remaining_route[d] + assigned[d]</w:t>
      </w:r>
      <w:r>
        <w:br/>
      </w:r>
      <w:r>
        <w:br/>
      </w:r>
      <w:r>
        <w:rPr>
          <w:rStyle w:val="VerbatimChar"/>
        </w:rPr>
        <w:t xml:space="preserve">5. Параллельно (asyncio.gather):</w:t>
      </w:r>
      <w:r>
        <w:br/>
      </w:r>
      <w:r>
        <w:rPr>
          <w:rStyle w:val="VerbatimChar"/>
        </w:rPr>
        <w:t xml:space="preserve">   Для каждого затронутого дрона → greedy_nn_tsp(merged[d])</w:t>
      </w:r>
      <w:r>
        <w:br/>
      </w:r>
      <w:r>
        <w:br/>
      </w:r>
      <w:r>
        <w:rPr>
          <w:rStyle w:val="VerbatimChar"/>
        </w:rPr>
        <w:t xml:space="preserve">6. Вычислить новый IRM</w:t>
      </w:r>
      <w:r>
        <w:br/>
      </w:r>
      <w:r>
        <w:br/>
      </w:r>
      <w:r>
        <w:rPr>
          <w:rStyle w:val="VerbatimChar"/>
        </w:rPr>
        <w:t xml:space="preserve">Выход: обновлённые маршруты для активных дронов</w:t>
      </w:r>
      <w:r>
        <w:br/>
      </w:r>
      <w:r>
        <w:rPr>
          <w:rStyle w:val="VerbatimChar"/>
        </w:rPr>
        <w:t xml:space="preserve">Сложность: O(|uncovered| × k + k × n²_cluster)</w:t>
      </w:r>
      <w:r>
        <w:br/>
      </w:r>
      <w:r>
        <w:rPr>
          <w:rStyle w:val="VerbatimChar"/>
        </w:rPr>
        <w:t xml:space="preserve">  Для k=3, n=67: ~3 × 67² ≈ 13 470 операций → ≤ 2 мс</w:t>
      </w:r>
    </w:p>
    <w:p>
      <w:pPr>
        <w:pStyle w:val="FirstParagraph"/>
      </w:pPr>
      <w:r>
        <w:rPr>
          <w:bCs/>
          <w:b/>
        </w:rPr>
        <w:t xml:space="preserve">Жадный алгоритм NN-TSP</w:t>
      </w:r>
      <w:r>
        <w:t xml:space="preserve"> </w:t>
      </w:r>
      <w:r>
        <w:t xml:space="preserve">(nearest-neighbor) для replanner: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greedy_nn_tsp(points: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[Point])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[Point]: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(points)))</w:t>
      </w:r>
      <w:r>
        <w:br/>
      </w:r>
      <w:r>
        <w:rPr>
          <w:rStyle w:val="NormalTok"/>
        </w:rPr>
        <w:t xml:space="preserve">    tour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[points[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remaining.discard(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cx,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].x, points[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Squared Euclidean (без sqrt — сохраняет монотонность)</w:t>
      </w:r>
      <w:r>
        <w:br/>
      </w:r>
      <w:r>
        <w:rPr>
          <w:rStyle w:val="NormalTok"/>
        </w:rPr>
        <w:t xml:space="preserve">        nearest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(remaining,</w:t>
      </w:r>
      <w:r>
        <w:br/>
      </w:r>
      <w:r>
        <w:rPr>
          <w:rStyle w:val="NormalTok"/>
        </w:rPr>
        <w:t xml:space="preserve">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(points[i].x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cx)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(points[i].y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tour.append(points[nearest])</w:t>
      </w:r>
      <w:r>
        <w:br/>
      </w:r>
      <w:r>
        <w:rPr>
          <w:rStyle w:val="NormalTok"/>
        </w:rPr>
        <w:t xml:space="preserve">        cx, 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points[nearest].x, points[nearest].y</w:t>
      </w:r>
      <w:r>
        <w:br/>
      </w:r>
      <w:r>
        <w:rPr>
          <w:rStyle w:val="NormalTok"/>
        </w:rPr>
        <w:t xml:space="preserve">        remaining.discard(nearest)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tour</w:t>
      </w:r>
    </w:p>
    <w:p>
      <w:pPr>
        <w:pStyle w:val="FirstParagraph"/>
      </w:pPr>
      <w:r>
        <w:t xml:space="preserve">Использование squared Euclidean вместо полного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ускоряет каждую итерацию в ~1,5 раза без изменения результата (монотонность расстояний сохраняется).</w:t>
      </w:r>
    </w:p>
    <w:p>
      <w:pPr>
        <w:pStyle w:val="BodyText"/>
      </w:pPr>
      <w:r>
        <w:t xml:space="preserve">Все CPU-интенсивные операции replanner выполняются в</w:t>
      </w:r>
      <w:r>
        <w:t xml:space="preserve"> </w:t>
      </w:r>
      <w:r>
        <w:rPr>
          <w:rStyle w:val="VerbatimChar"/>
        </w:rPr>
        <w:t xml:space="preserve">asyncio.run_in_executor(None, ...)</w:t>
      </w:r>
      <w:r>
        <w:t xml:space="preserve"> </w:t>
      </w:r>
      <w:r>
        <w:t xml:space="preserve">— event loop не блокируется, WebSocket-соединения с браузером продолжают работу. Целевое время выполнения ≤ 500 мс для 4 дронов и 200 waypoints, что подтверждено нагрузочным тестированием.</w:t>
      </w:r>
    </w:p>
    <w:bookmarkEnd w:id="66"/>
    <w:bookmarkStart w:id="67" w:name="Xd46adef193c26ea5201f4330d42ff241b8d6fde"/>
    <w:p>
      <w:pPr>
        <w:pStyle w:val="5"/>
      </w:pPr>
      <w:r>
        <w:t xml:space="preserve">Сценарий B — новая зона РЭБ (</w:t>
      </w:r>
      <w:r>
        <w:rPr>
          <w:rStyle w:val="VerbatimChar"/>
        </w:rPr>
        <w:t xml:space="preserve">replan_on_new_risk_zone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Триггер:</w:t>
      </w:r>
      <w:r>
        <w:t xml:space="preserve"> </w:t>
      </w:r>
      <w:r>
        <w:t xml:space="preserve">оператор добавил полигон зоны РЭБ через UI →</w:t>
      </w:r>
      <w:r>
        <w:t xml:space="preserve"> </w:t>
      </w:r>
      <w:r>
        <w:rPr>
          <w:rStyle w:val="VerbatimChar"/>
        </w:rPr>
        <w:t xml:space="preserve">POST /api/v1/mission/{id}/risk-zones</w:t>
      </w:r>
      <w:r>
        <w:t xml:space="preserve">.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Вход: active_drones, new_zone, current_routes</w:t>
      </w:r>
      <w:r>
        <w:br/>
      </w:r>
      <w:r>
        <w:br/>
      </w:r>
      <w:r>
        <w:rPr>
          <w:rStyle w:val="VerbatimChar"/>
        </w:rPr>
        <w:t xml:space="preserve">1. Инкрементально обновить risk_map:</w:t>
      </w:r>
      <w:r>
        <w:br/>
      </w:r>
      <w:r>
        <w:rPr>
          <w:rStyle w:val="VerbatimChar"/>
        </w:rPr>
        <w:t xml:space="preserve">   Для каждой ячейки сетки в окрестности new_zone:</w:t>
      </w:r>
      <w:r>
        <w:br/>
      </w:r>
      <w:r>
        <w:rPr>
          <w:rStyle w:val="VerbatimChar"/>
        </w:rPr>
        <w:t xml:space="preserve">     risk_grid[i,j] = min(1.0, risk_grid[i,j] + delta_risk(i,j, new_zone))</w:t>
      </w:r>
      <w:r>
        <w:br/>
      </w:r>
      <w:r>
        <w:br/>
      </w:r>
      <w:r>
        <w:rPr>
          <w:rStyle w:val="VerbatimChar"/>
        </w:rPr>
        <w:t xml:space="preserve">2. Определить затронутых дронов:</w:t>
      </w:r>
      <w:r>
        <w:br/>
      </w:r>
      <w:r>
        <w:rPr>
          <w:rStyle w:val="VerbatimChar"/>
        </w:rPr>
        <w:t xml:space="preserve">   routes_to_replan = []</w:t>
      </w:r>
      <w:r>
        <w:br/>
      </w:r>
      <w:r>
        <w:rPr>
          <w:rStyle w:val="VerbatimChar"/>
        </w:rPr>
        <w:t xml:space="preserve">   Для каждого дрона d:</w:t>
      </w:r>
      <w:r>
        <w:br/>
      </w:r>
      <w:r>
        <w:rPr>
          <w:rStyle w:val="VerbatimChar"/>
        </w:rPr>
        <w:t xml:space="preserve">     remaining_segments = route[d][current_index:]</w:t>
      </w:r>
      <w:r>
        <w:br/>
      </w:r>
      <w:r>
        <w:rPr>
          <w:rStyle w:val="VerbatimChar"/>
        </w:rPr>
        <w:t xml:space="preserve">     Если LineString(segment).intersects(new_zone.geometry):</w:t>
      </w:r>
      <w:r>
        <w:br/>
      </w:r>
      <w:r>
        <w:rPr>
          <w:rStyle w:val="VerbatimChar"/>
        </w:rPr>
        <w:t xml:space="preserve">       routes_to_replan.append(d)</w:t>
      </w:r>
      <w:r>
        <w:br/>
      </w:r>
      <w:r>
        <w:br/>
      </w:r>
      <w:r>
        <w:rPr>
          <w:rStyle w:val="VerbatimChar"/>
        </w:rPr>
        <w:t xml:space="preserve">3. Для незатронутых дронов: маршрут не меняется</w:t>
      </w:r>
      <w:r>
        <w:br/>
      </w:r>
      <w:r>
        <w:br/>
      </w:r>
      <w:r>
        <w:rPr>
          <w:rStyle w:val="VerbatimChar"/>
        </w:rPr>
        <w:t xml:space="preserve">4. Параллельно (asyncio.gather):</w:t>
      </w:r>
      <w:r>
        <w:br/>
      </w:r>
      <w:r>
        <w:rPr>
          <w:rStyle w:val="VerbatimChar"/>
        </w:rPr>
        <w:t xml:space="preserve">   Для d ∈ routes_to_replan:</w:t>
      </w:r>
      <w:r>
        <w:br/>
      </w:r>
      <w:r>
        <w:rPr>
          <w:rStyle w:val="VerbatimChar"/>
        </w:rPr>
        <w:t xml:space="preserve">     Пересчитать penalty-граф с учётом new_zone</w:t>
      </w:r>
      <w:r>
        <w:br/>
      </w:r>
      <w:r>
        <w:rPr>
          <w:rStyle w:val="VerbatimChar"/>
        </w:rPr>
        <w:t xml:space="preserve">     Запустить greedy_nn_tsp(remaining_waypoints[d])</w:t>
      </w:r>
      <w:r>
        <w:br/>
      </w:r>
      <w:r>
        <w:br/>
      </w:r>
      <w:r>
        <w:rPr>
          <w:rStyle w:val="VerbatimChar"/>
        </w:rPr>
        <w:t xml:space="preserve">5. Вычислить новый IRM, отправить через WS клиенту</w:t>
      </w:r>
      <w:r>
        <w:br/>
      </w:r>
      <w:r>
        <w:br/>
      </w:r>
      <w:r>
        <w:rPr>
          <w:rStyle w:val="VerbatimChar"/>
        </w:rPr>
        <w:t xml:space="preserve">Сложность: O(|affected_drones| × n²_cluster + G²)</w:t>
      </w:r>
      <w:r>
        <w:br/>
      </w:r>
      <w:r>
        <w:rPr>
          <w:rStyle w:val="VerbatimChar"/>
        </w:rPr>
        <w:t xml:space="preserve">  G = размер сетки risk_map</w:t>
      </w:r>
    </w:p>
    <w:bookmarkEnd w:id="67"/>
    <w:bookmarkEnd w:id="68"/>
    <w:bookmarkStart w:id="69" w:name="эвристический-контур-обнаружения-угроз"/>
    <w:p>
      <w:pPr>
        <w:pStyle w:val="4"/>
      </w:pPr>
      <w:r>
        <w:t xml:space="preserve">1.4.6 Эвристический контур обнаружения угроз</w:t>
      </w:r>
    </w:p>
    <w:p>
      <w:pPr>
        <w:pStyle w:val="FirstParagraph"/>
      </w:pPr>
      <w:r>
        <w:t xml:space="preserve">Эвристический контур реализует автоматическое обнаружение потенциальных зон глушения по телеметрии MAVLink без явного задания полигонов оператором. Контур не заменяет базовый сценарий ручного добавления зон, но дополняет его в тарифном плане «Бизнес».</w:t>
      </w:r>
    </w:p>
    <w:p>
      <w:pPr>
        <w:pStyle w:val="BodyText"/>
      </w:pPr>
      <w:r>
        <w:t xml:space="preserve">Обработка выполняется в трёх взаимосвязанных модулях:</w:t>
      </w:r>
    </w:p>
    <w:p>
      <w:pPr>
        <w:pStyle w:val="BodyText"/>
      </w:pPr>
      <w:r>
        <w:rPr>
          <w:bCs/>
          <w:b/>
        </w:rPr>
        <w:t xml:space="preserve">Модуль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telemetry_features.py</w:t>
      </w:r>
      <w:r>
        <w:t xml:space="preserve"> </w:t>
      </w:r>
      <w:r>
        <w:t xml:space="preserve">— вычисление скользящих признаков из потока MAVLink-телеметрии по скользящему окну из 20 последних сообщений: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GNSS-прокси</w:t>
      </w:r>
      <w:r>
        <w:t xml:space="preserve"> </w:t>
      </w:r>
      <w:r>
        <w:t xml:space="preserve">(gps_stability): дисперсия скорости изменения позиции — высокая дисперсия сигнализирует о нестабильном сигнале ГНСС.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Канал-прокси</w:t>
      </w:r>
      <w:r>
        <w:t xml:space="preserve"> </w:t>
      </w:r>
      <w:r>
        <w:t xml:space="preserve">(link_quality): оценка качества на основе PLR (Packet Loss Rate) —</w:t>
      </w:r>
      <w:r>
        <w:t xml:space="preserve"> </w:t>
      </w:r>
      <w:r>
        <w:rPr>
          <w:rStyle w:val="VerbatimChar"/>
        </w:rPr>
        <w:t xml:space="preserve">plr = lost_packets / max(total_packets, 1)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IMU-прокси</w:t>
      </w:r>
      <w:r>
        <w:t xml:space="preserve"> </w:t>
      </w:r>
      <w:r>
        <w:t xml:space="preserve">(imu_jerk): вторые разности последовательности позиций как косвенная оценка резких изменений траектории, характерных для спуфинга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Согласованность роя</w:t>
      </w:r>
      <w:r>
        <w:t xml:space="preserve"> </w:t>
      </w:r>
      <w:r>
        <w:t xml:space="preserve">(swarm_consensus): выброс позиции одного дрона относительно интерполированных позиций соседей.</w:t>
      </w:r>
    </w:p>
    <w:p>
      <w:pPr>
        <w:pStyle w:val="FirstParagraph"/>
      </w:pPr>
      <w:r>
        <w:rPr>
          <w:bCs/>
          <w:b/>
        </w:rPr>
        <w:t xml:space="preserve">Модуль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threat_fusion.py</w:t>
      </w:r>
      <w:r>
        <w:t xml:space="preserve"> </w:t>
      </w:r>
      <w:r>
        <w:t xml:space="preserve">— взвешенное суммирование признаков в скаляр угрозы:</w:t>
      </w:r>
    </w:p>
    <w:p>
      <w:pPr>
        <w:pStyle w:val="BodyText"/>
      </w:pPr>
      <ns2:oMathPara>
        <ns2:oMathParaPr>
          <ns2:jc ns2:val="center"/>
        </ns2:oMathParaPr>
        <ns2:oMath>
          <ns2:r>
            <ns2:rPr>
              <ns2:sty ns2:val="p"/>
            </ns2:rPr>
            <ns2:t>t</ns2:t>
          </ns2:r>
          <ns2:r>
            <ns2:rPr>
              <ns2:sty ns2:val="p"/>
            </ns2:rPr>
            <ns2:t>h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t</ns2:t>
          </ns2:r>
          <ns2:r>
            <ns2:rPr>
              <ns2:sty ns2:val="p"/>
            </ns2:rPr>
            <ns2:t>_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c</ns2:t>
          </ns2:r>
          <ns2:r>
            <ns2:rPr>
              <ns2:sty ns2:val="p"/>
            </ns2:rPr>
            <ns2:t>o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=</ns2:t>
          </ns2:r>
          <ns2:sSub>
            <ns2:e>
              <ns2:r>
                <ns2:t>w</ns2:t>
              </ns2:r>
            </ns2:e>
            <ns2:sub>
              <ns2:r>
                <ns2:rPr>
                  <ns2:sty ns2:val="p"/>
                </ns2:rPr>
                <ns2:t>g</ns2:t>
              </ns2:r>
              <ns2:r>
                <ns2:rPr>
                  <ns2:sty ns2:val="p"/>
                </ns2:rPr>
                <ns2:t>p</ns2:t>
              </ns2:r>
              <ns2:r>
                <ns2:rPr>
                  <ns2:sty ns2:val="p"/>
                </ns2:rPr>
                <ns2:t>s</ns2:t>
              </ns2:r>
            </ns2:sub>
          </ns2:sSub>
          <ns2:r>
            <ns2:rPr>
              <ns2:sty ns2:val="p"/>
            </ns2:rPr>
            <ns2:t>⋅</ns2:t>
          </ns2:r>
          <ns2:r>
            <ns2:rPr>
              <ns2:sty ns2:val="p"/>
            </ns2:rPr>
            <ns2:t>g</ns2:t>
          </ns2:r>
          <ns2:r>
            <ns2:rPr>
              <ns2:sty ns2:val="p"/>
            </ns2:rPr>
            <ns2:t>p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_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n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t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b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l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t</ns2:t>
          </ns2:r>
          <ns2:r>
            <ns2:rPr>
              <ns2:sty ns2:val="p"/>
            </ns2:rPr>
            <ns2:t>y</ns2:t>
          </ns2:r>
          <ns2:r>
            <ns2:rPr>
              <ns2:sty ns2:val="p"/>
            </ns2:rPr>
            <ns2:t>+</ns2:t>
          </ns2:r>
          <ns2:sSub>
            <ns2:e>
              <ns2:r>
                <ns2:t>w</ns2:t>
              </ns2:r>
            </ns2:e>
            <ns2:sub>
              <ns2:r>
                <ns2:rPr>
                  <ns2:sty ns2:val="p"/>
                </ns2:rPr>
                <ns2:t>l</ns2:t>
              </ns2:r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n</ns2:t>
              </ns2:r>
              <ns2:r>
                <ns2:rPr>
                  <ns2:sty ns2:val="p"/>
                </ns2:rPr>
                <ns2:t>k</ns2:t>
              </ns2:r>
            </ns2:sub>
          </ns2:sSub>
          <ns2:r>
            <ns2:rPr>
              <ns2:sty ns2:val="p"/>
            </ns2:rPr>
            <ns2:t>⋅</ns2:t>
          </ns2:r>
          <ns2:r>
            <ns2:rPr>
              <ns2:sty ns2:val="p"/>
            </ns2:rPr>
            <ns2:t>p</ns2:t>
          </ns2:r>
          <ns2:r>
            <ns2:rPr>
              <ns2:sty ns2:val="p"/>
            </ns2:rPr>
            <ns2:t>l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+</ns2:t>
          </ns2:r>
          <ns2:sSub>
            <ns2:e>
              <ns2:r>
                <ns2:t>w</ns2:t>
              </ns2:r>
            </ns2:e>
            <ns2:sub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m</ns2:t>
              </ns2:r>
              <ns2:r>
                <ns2:rPr>
                  <ns2:sty ns2:val="p"/>
                </ns2:rPr>
                <ns2:t>u</ns2:t>
              </ns2:r>
            </ns2:sub>
          </ns2:sSub>
          <ns2:r>
            <ns2:rPr>
              <ns2:sty ns2:val="p"/>
            </ns2:rPr>
            <ns2:t>⋅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m</ns2:t>
          </ns2:r>
          <ns2:r>
            <ns2:rPr>
              <ns2:sty ns2:val="p"/>
            </ns2:rPr>
            <ns2:t>u</ns2:t>
          </ns2:r>
          <ns2:r>
            <ns2:rPr>
              <ns2:sty ns2:val="p"/>
            </ns2:rPr>
            <ns2:t>_</ns2:t>
          </ns2:r>
          <ns2:r>
            <ns2:rPr>
              <ns2:sty ns2:val="p"/>
            </ns2:rPr>
            <ns2:t>j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k</ns2:t>
          </ns2:r>
          <ns2:r>
            <ns2:rPr>
              <ns2:sty ns2:val="p"/>
            </ns2:rPr>
            <ns2:t>+</ns2:t>
          </ns2:r>
          <ns2:sSub>
            <ns2:e>
              <ns2:r>
                <ns2:t>w</ns2:t>
              </ns2:r>
            </ns2:e>
            <ns2:sub>
              <ns2:r>
                <ns2:rPr>
                  <ns2:sty ns2:val="p"/>
                </ns2:rPr>
                <ns2:t>s</ns2:t>
              </ns2:r>
              <ns2:r>
                <ns2:rPr>
                  <ns2:sty ns2:val="p"/>
                </ns2:rPr>
                <ns2:t>w</ns2:t>
              </ns2:r>
              <ns2:r>
                <ns2:rPr>
                  <ns2:sty ns2:val="p"/>
                </ns2:rPr>
                <ns2:t>a</ns2:t>
              </ns2:r>
              <ns2:r>
                <ns2:rPr>
                  <ns2:sty ns2:val="p"/>
                </ns2:rPr>
                <ns2:t>r</ns2:t>
              </ns2:r>
              <ns2:r>
                <ns2:rPr>
                  <ns2:sty ns2:val="p"/>
                </ns2:rPr>
                <ns2:t>m</ns2:t>
              </ns2:r>
            </ns2:sub>
          </ns2:sSub>
          <ns2:r>
            <ns2:rPr>
              <ns2:sty ns2:val="p"/>
            </ns2:rPr>
            <ns2:t>⋅</ns2:t>
          </ns2:r>
          <ns2:r>
            <ns2:rPr>
              <ns2:sty ns2:val="p"/>
            </ns2:rPr>
            <ns2:t>s</ns2:t>
          </ns2:r>
          <ns2:r>
            <ns2:rPr>
              <ns2:sty ns2:val="p"/>
            </ns2:rPr>
            <ns2:t>w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m</ns2:t>
          </ns2:r>
          <ns2:r>
            <ns2:rPr>
              <ns2:sty ns2:val="p"/>
            </ns2:rPr>
            <ns2:t>_</ns2:t>
          </ns2:r>
          <ns2:r>
            <ns2:rPr>
              <ns2:sty ns2:val="p"/>
            </ns2:rPr>
            <ns2:t>d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v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t</ns2:t>
          </ns2:r>
          <ns2:r>
            <ns2:rPr>
              <ns2:sty ns2:val="p"/>
            </ns2:rPr>
            <ns2:t>i</ns2:t>
          </ns2:r>
          <ns2:r>
            <ns2:rPr>
              <ns2:sty ns2:val="p"/>
            </ns2:rPr>
            <ns2:t>o</ns2:t>
          </ns2:r>
          <ns2:r>
            <ns2:rPr>
              <ns2:sty ns2:val="p"/>
            </ns2:rPr>
            <ns2:t>n</ns2:t>
          </ns2:r>
        </ns2:oMath>
      </ns2:oMathPara>
    </w:p>
    <w:p>
      <w:pPr>
        <w:pStyle w:val="FirstParagraph"/>
      </w:pPr>
      <ns2:oMathPara>
        <ns2:oMathParaPr>
          <ns2:jc ns2:val="center"/>
        </ns2:oMathParaPr>
        <ns2:oMath>
          <ns2:r>
            <ns2:rPr>
              <ns2:sty ns2:val="p"/>
            </ns2:rPr>
            <ns2:t>j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m</ns2:t>
          </ns2:r>
          <ns2:r>
            <ns2:rPr>
              <ns2:sty ns2:val="p"/>
            </ns2:rPr>
            <ns2:t>_</ns2:t>
          </ns2:r>
          <ns2:r>
            <ns2:rPr>
              <ns2:sty ns2:val="p"/>
            </ns2:rPr>
            <ns2:t>p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o</ns2:t>
          </ns2:r>
          <ns2:r>
            <ns2:rPr>
              <ns2:sty ns2:val="p"/>
            </ns2:rPr>
            <ns2:t>b</ns2:t>
          </ns2:r>
          <ns2:r>
            <ns2:rPr>
              <ns2:sty ns2:val="p"/>
            </ns2:rPr>
            <ns2:t>=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M</ns2:t>
          </ns2:r>
          <ns2:r>
            <ns2:rPr>
              <ns2:sty ns2:val="p"/>
            </ns2:rPr>
            <ns2:t>A</ns2:t>
          </ns2:r>
          <ns2:d>
            <ns2:dPr>
              <ns2:begChr ns2:val="("/>
              <ns2:endChr ns2:val=")"/>
              <ns2:sepChr ns2:val=""/>
              <ns2:grow/>
            </ns2:dPr>
            <ns2:e>
              <ns2:r>
                <ns2:rPr>
                  <ns2:sty ns2:val="p"/>
                </ns2:rPr>
                <ns2:t>t</ns2:t>
              </ns2:r>
              <ns2:r>
                <ns2:rPr>
                  <ns2:sty ns2:val="p"/>
                </ns2:rPr>
                <ns2:t>h</ns2:t>
              </ns2:r>
              <ns2:r>
                <ns2:rPr>
                  <ns2:sty ns2:val="p"/>
                </ns2:rPr>
                <ns2:t>r</ns2:t>
              </ns2:r>
              <ns2:r>
                <ns2:rPr>
                  <ns2:sty ns2:val="p"/>
                </ns2:rPr>
                <ns2:t>e</ns2:t>
              </ns2:r>
              <ns2:r>
                <ns2:rPr>
                  <ns2:sty ns2:val="p"/>
                </ns2:rPr>
                <ns2:t>a</ns2:t>
              </ns2:r>
              <ns2:r>
                <ns2:rPr>
                  <ns2:sty ns2:val="p"/>
                </ns2:rPr>
                <ns2:t>t</ns2:t>
              </ns2:r>
              <ns2:r>
                <ns2:rPr>
                  <ns2:sty ns2:val="p"/>
                </ns2:rPr>
                <ns2:t>_</ns2:t>
              </ns2:r>
              <ns2:r>
                <ns2:rPr>
                  <ns2:sty ns2:val="p"/>
                </ns2:rPr>
                <ns2:t>s</ns2:t>
              </ns2:r>
              <ns2:r>
                <ns2:rPr>
                  <ns2:sty ns2:val="p"/>
                </ns2:rPr>
                <ns2:t>c</ns2:t>
              </ns2:r>
              <ns2:r>
                <ns2:rPr>
                  <ns2:sty ns2:val="p"/>
                </ns2:rPr>
                <ns2:t>o</ns2:t>
              </ns2:r>
              <ns2:r>
                <ns2:rPr>
                  <ns2:sty ns2:val="p"/>
                </ns2:rPr>
                <ns2:t>r</ns2:t>
              </ns2:r>
              <ns2:r>
                <ns2:rPr>
                  <ns2:sty ns2:val="p"/>
                </ns2:rPr>
                <ns2:t>e</ns2:t>
              </ns2:r>
              <ns2:r>
                <ns2:rPr>
                  <ns2:sty ns2:val="p"/>
                </ns2:rPr>
                <ns2:t>,</ns2:t>
              </ns2:r>
              <ns2:r>
                <ns2:t> </ns2:t>
              </ns2:r>
              <ns2:r>
                <ns2:t>α</ns2:t>
              </ns2:r>
              <ns2:r>
                <ns2:rPr>
                  <ns2:sty ns2:val="p"/>
                </ns2:rPr>
                <ns2:t>=</ns2:t>
              </ns2:r>
              <ns2:r>
                <ns2:t>0</ns2:t>
              </ns2:r>
              <ns2:r>
                <ns2:rPr>
                  <ns2:sty ns2:val="p"/>
                </ns2:rPr>
                <ns2:t>,</ns2:t>
              </ns2:r>
              <ns2:r>
                <ns2:t>3</ns2:t>
              </ns2:r>
            </ns2:e>
          </ns2:d>
        </ns2:oMath>
      </ns2:oMathPara>
    </w:p>
    <w:p>
      <w:pPr>
        <w:pStyle w:val="FirstParagraph"/>
      </w:pPr>
      <w:r>
        <w:t xml:space="preserve">где</w:t>
      </w:r>
      <w:r>
        <w:t xml:space="preserve"> </w:t>
      </w:r>
      <ns2:oMath>
        <ns2:r>
          <ns2:rPr>
            <ns2:sty ns2:val="p"/>
          </ns2:rPr>
          <ns2:t>E</ns2:t>
        </ns2:r>
        <ns2:r>
          <ns2:rPr>
            <ns2:sty ns2:val="p"/>
          </ns2:rPr>
          <ns2:t>M</ns2:t>
        </ns2:r>
        <ns2:r>
          <ns2:rPr>
            <ns2:sty ns2:val="p"/>
          </ns2:rPr>
          <ns2:t>A</ns2:t>
        </ns2:r>
      </ns2:oMath>
      <w:r>
        <w:t xml:space="preserve"> </w:t>
      </w:r>
      <w:r>
        <w:t xml:space="preserve">— экспоненциальное скользящее среднее.</w:t>
      </w:r>
    </w:p>
    <w:p>
      <w:pPr>
        <w:pStyle w:val="BodyText"/>
      </w:pPr>
      <w:r>
        <w:t xml:space="preserve">Конфигурируемые веса задаются в</w:t>
      </w:r>
      <w:r>
        <w:t xml:space="preserve"> </w:t>
      </w:r>
      <w:r>
        <w:rPr>
          <w:rStyle w:val="VerbatimChar"/>
        </w:rPr>
        <w:t xml:space="preserve">app/core/config.py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FUSION_WEIGHT_GPS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FUSION_WEIGHT_PLR</w:t>
      </w:r>
      <w:r>
        <w:t xml:space="preserve">,</w:t>
      </w:r>
      <w:r>
        <w:t xml:space="preserve"> </w:t>
      </w:r>
      <w:r>
        <w:rPr>
          <w:rStyle w:val="VerbatimChar"/>
        </w:rPr>
        <w:t xml:space="preserve">FUSION_WEIGHT_IMU</w:t>
      </w:r>
      <w:r>
        <w:t xml:space="preserve">,</w:t>
      </w:r>
      <w:r>
        <w:t xml:space="preserve"> </w:t>
      </w:r>
      <w:r>
        <w:rPr>
          <w:rStyle w:val="VerbatimChar"/>
        </w:rPr>
        <w:t xml:space="preserve">FUSION_WEIGHT_SWARM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Модуль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mission_fusion_runtime.py</w:t>
      </w:r>
      <w:r>
        <w:t xml:space="preserve"> </w:t>
      </w:r>
      <w:r>
        <w:t xml:space="preserve">— машина состояний детектора с гистерезисом:</w:t>
      </w:r>
    </w:p>
    <w:p>
      <w:pPr>
        <w:pStyle w:val="SourceCode"/>
        <w:shd w:val="clear" w:color="auto" w:fill="F2F2F2"/>
        <w:pBdr>
          <w:top w:val="single" w:sz="4" w:space="2" w:color="BFBFBF"/>
          <w:left w:val="single" w:sz="4" w:space="2" w:color="BFBFBF"/>
          <w:bottom w:val="single" w:sz="4" w:space="2" w:color="BFBFBF"/>
          <w:right w:val="single" w:sz="4" w:space="2" w:color="BFBFBF"/>
        </w:pBdr>
        <w:spacing w:before="60" w:after="60"/>
      </w:pPr>
      <w:r>
        <w:rPr>
          <w:rStyle w:val="VerbatimChar"/>
        </w:rPr>
        <w:t xml:space="preserve">STATES: NORMAL → SUSPECTED → ALARMED → (replan triggered) → NORMAL</w:t>
      </w:r>
      <w:r>
        <w:br/>
      </w:r>
      <w:r>
        <w:br/>
      </w:r>
      <w:r>
        <w:rPr>
          <w:rStyle w:val="VerbatimChar"/>
        </w:rPr>
        <w:t xml:space="preserve">Переходы:</w:t>
      </w:r>
      <w:r>
        <w:br/>
      </w:r>
      <w:r>
        <w:rPr>
          <w:rStyle w:val="VerbatimChar"/>
        </w:rPr>
        <w:t xml:space="preserve">  NORMAL → SUSPECTED:  jam_prob &gt; threshold_suspect (default 0.4) на 3+ тиках</w:t>
      </w:r>
      <w:r>
        <w:br/>
      </w:r>
      <w:r>
        <w:rPr>
          <w:rStyle w:val="VerbatimChar"/>
        </w:rPr>
        <w:t xml:space="preserve">  SUSPECTED → ALARMED: jam_prob &gt; threshold_alarm (default 0.7) на 3+ тиках</w:t>
      </w:r>
      <w:r>
        <w:br/>
      </w:r>
      <w:r>
        <w:rPr>
          <w:rStyle w:val="VerbatimChar"/>
        </w:rPr>
        <w:t xml:space="preserve">  ALARMED → replan:    кандидатная круговая зона R=300 м формируется вокруг</w:t>
      </w:r>
      <w:r>
        <w:br/>
      </w:r>
      <w:r>
        <w:rPr>
          <w:rStyle w:val="VerbatimChar"/>
        </w:rPr>
        <w:t xml:space="preserve">                       дрона с max jam_prob, вызывается replan_on_new_risk_zone</w:t>
      </w:r>
      <w:r>
        <w:br/>
      </w:r>
      <w:r>
        <w:rPr>
          <w:rStyle w:val="VerbatimChar"/>
        </w:rPr>
        <w:t xml:space="preserve">  replan → NORMAL:     после успешного перепланирования, cooldown 30 сек</w:t>
      </w:r>
    </w:p>
    <w:p>
      <w:pPr>
        <w:pStyle w:val="FirstParagraph"/>
      </w:pPr>
      <w:r>
        <w:t xml:space="preserve">Функция регистрации контекста миссии</w:t>
      </w:r>
      <w:r>
        <w:t xml:space="preserve"> </w:t>
      </w:r>
      <w:r>
        <w:rPr>
          <w:rStyle w:val="VerbatimChar"/>
        </w:rPr>
        <w:t xml:space="preserve">POST /api/v1/mission/{id}/fusion-context</w:t>
      </w:r>
      <w:r>
        <w:t xml:space="preserve"> </w:t>
      </w:r>
      <w:r>
        <w:t xml:space="preserve">позволяет клиентскому приложению активировать контур fusion для конкретной миссии и передать начальные параметры (пороги, веса). Результаты fusion транслируются клиенту через основной WebSocket-поток в событиях</w:t>
      </w:r>
      <w:r>
        <w:t xml:space="preserve"> </w:t>
      </w:r>
      <w:r>
        <w:rPr>
          <w:rStyle w:val="VerbatimChar"/>
        </w:rPr>
        <w:t xml:space="preserve">fusion_by_drone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dynamic_zones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Ограничения</w:t>
      </w:r>
      <w:r>
        <w:t xml:space="preserve"> </w:t>
      </w:r>
      <w:r>
        <w:t xml:space="preserve">текущей реализации относительно полной постановки : отсутствуют отдельные драйверы SDR-приёмников, «железного» IMU и обучаемые fusion-модели; прокси-признаки вычисляются по одному MAVLink-потоку без отдельных каналов сбора данных. Это снижает точность обнаружения по сравнению с многодатчиковой целевой моделью, однако сохраняет работоспособность контура при нулевых дополнительных аппаратных затратах [2].</w:t>
      </w:r>
    </w:p>
    <w:bookmarkEnd w:id="69"/>
    <w:bookmarkStart w:id="70" w:name="анализ-сложности-алгоритмического-стека"/>
    <w:p>
      <w:pPr>
        <w:pStyle w:val="4"/>
      </w:pPr>
      <w:r>
        <w:t xml:space="preserve">1.4.7 Анализ сложности алгоритмического стека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Сложность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Измеренное время (MVP)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Построение risk_map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O(G² × M)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8–15 мс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Risk-Weighted Voronoi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O(I × N × K)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~50 мс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Penalty-граф + OR-Tools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O(N² × M) + O(N² log N)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~40 мс (4 кластера)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Replanner NN-TSP (параллельно)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O(K × N²)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≤ 380 мс</w:t>
            </w:r>
          </w:p>
        </w:tc>
      </w:tr>
    </w:tbl>
    <w:p>
      <w:pPr>
        <w:pStyle w:val="BodyText"/>
      </w:pPr>
      <w:r>
        <w:t xml:space="preserve">Суммарное TTD ≤ 3,8 сек при K=4, N=67. Генетические алгоритмы (GA) и PSO/GWO дают более высокое качество (≥95 % от оптимума), но требуют 30–120 сек — неприемлемо для реального времени. OR-Tools (PATH_CHEAPEST_ARC + 2-opt) обеспечивает 85–95 % от оптимума при детерминированном времени выполнения и Apache 2.0 лицензии [29].</w:t>
      </w:r>
    </w:p>
    <w:bookmarkEnd w:id="70"/>
    <w:bookmarkStart w:id="71" w:name="детализация-алгоритма-перепланирования"/>
    <w:p>
      <w:pPr>
        <w:pStyle w:val="4"/>
      </w:pPr>
      <w:r>
        <w:t xml:space="preserve">1.4.8 Детализация алгоритма перепланирования</w:t>
      </w:r>
    </w:p>
    <w:p>
      <w:pPr>
        <w:pStyle w:val="FirstParagraph"/>
      </w:pPr>
      <w:r>
        <w:rPr>
          <w:bCs/>
          <w:b/>
        </w:rPr>
        <w:t xml:space="preserve">Сценарий A (потеря дрона):</w:t>
      </w:r>
      <w:r>
        <w:t xml:space="preserve"> </w:t>
      </w:r>
      <w:r>
        <w:t xml:space="preserve">незавершённые точки потерянного дрона распределяются между активными пропорционально</w:t>
      </w:r>
      <w:r>
        <w:t xml:space="preserve"> </w:t>
      </w:r>
      <w:r>
        <w:rPr>
          <w:rStyle w:val="VerbatimChar"/>
        </w:rPr>
        <w:t xml:space="preserve">capacity_d = battery_d × max_speed_d</w:t>
      </w:r>
      <w:r>
        <w:t xml:space="preserve">. Для каждого активного дрона выбираются</w:t>
      </w:r>
      <w:r>
        <w:t xml:space="preserve"> </w:t>
      </w:r>
      <w:r>
        <w:rPr>
          <w:rStyle w:val="VerbatimChar"/>
        </w:rPr>
        <w:t xml:space="preserve">n_take = round(weight_d × len(uncovered))</w:t>
      </w:r>
      <w:r>
        <w:t xml:space="preserve"> </w:t>
      </w:r>
      <w:r>
        <w:t xml:space="preserve">ближайших точек. Новый порядок обхода строится через Greedy NN-TSP параллельно для всех дронов (</w:t>
      </w:r>
      <w:r>
        <w:rPr>
          <w:rStyle w:val="VerbatimChar"/>
        </w:rPr>
        <w:t xml:space="preserve">asyncio.gather</w:t>
      </w:r>
      <w:r>
        <w:t xml:space="preserve">). NN-TSP использует квадратичное расстояние вместо полного евклидова — исключение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ускоряет каждую итерацию на ~30 % при идентичном результате.</w:t>
      </w:r>
    </w:p>
    <w:p>
      <w:pPr>
        <w:pStyle w:val="BodyText"/>
      </w:pPr>
      <w:r>
        <w:rPr>
          <w:bCs/>
          <w:b/>
        </w:rPr>
        <w:t xml:space="preserve">Сценарий B (новая зона РЭБ):</w:t>
      </w:r>
      <w:r>
        <w:t xml:space="preserve"> </w:t>
      </w:r>
      <w:r>
        <w:t xml:space="preserve">risk_map обновляется инкрементально только в bbox новой зоны (~200–400 ячеек вместо 3000). Перепланируются только дроны, чьи оставшиеся маршруты пересекают новую зону (в среднем 1–2 из 4). Незатронутые дроны продолжают полёт без изменений. Инкрементальная стратегия снижает TTR в 3–5 раз: измеренное значение 290 мс при требовании ≤ 500 мс.</w:t>
      </w:r>
    </w:p>
    <w:bookmarkEnd w:id="71"/>
    <w:bookmarkStart w:id="72" w:name="X4f6cf0e6212506533c6793902a63b13c2145eec"/>
    <w:p>
      <w:pPr>
        <w:pStyle w:val="4"/>
      </w:pPr>
      <w:r>
        <w:t xml:space="preserve">1.4.9 Математическое обоснование корректности penalty-системы</w:t>
      </w:r>
    </w:p>
    <w:p>
      <w:pPr>
        <w:pStyle w:val="FirstParagraph"/>
      </w:pPr>
      <w:r>
        <w:rPr>
          <w:bCs/>
          <w:b/>
        </w:rPr>
        <w:t xml:space="preserve">Лемма (корректность penalty-маршрутизации):</w:t>
      </w:r>
      <w:r>
        <w:t xml:space="preserve"> </w:t>
      </w:r>
      <w:r>
        <w:t xml:space="preserve">при penalty = severity × 500 и dist_euclidean ≤ diameter(polygon) ≈ 0,5° ≈ 55 км, для любых двух точек A и B путь «через зону» всегда дороже пути «в обход зоны», если в обход существует хотя бы один альтернативный маршрут.</w:t>
      </w:r>
    </w:p>
    <w:p>
      <w:pPr>
        <w:pStyle w:val="BodyText"/>
      </w:pPr>
      <w:r>
        <w:rPr>
          <w:bCs/>
          <w:b/>
        </w:rPr>
        <w:t xml:space="preserve">Обоснование:</w:t>
      </w:r>
      <w:r>
        <w:t xml:space="preserve"> </w:t>
      </w:r>
      <w:r>
        <w:t xml:space="preserve">максимальное евклидово расстояние между двумя точками поля (0,5° × 0,4°) составляет:</w:t>
      </w:r>
    </w:p>
    <w:p>
      <w:pPr>
        <w:pStyle w:val="BodyText"/>
      </w:pPr>
      <ns2:oMathPara>
        <ns2:oMathParaPr>
          <ns2:jc ns2:val="center"/>
        </ns2:oMathParaPr>
        <ns2:oMath>
          <ns2:sSub>
            <ns2:e>
              <ns2:r>
                <ns2:rPr>
                  <ns2:sty ns2:val="p"/>
                </ns2:rPr>
                <ns2:t>d</ns2:t>
              </ns2:r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s</ns2:t>
              </ns2:r>
              <ns2:r>
                <ns2:rPr>
                  <ns2:sty ns2:val="p"/>
                </ns2:rPr>
                <ns2:t>t</ns2:t>
              </ns2:r>
            </ns2:e>
            <ns2:sub>
              <ns2:r>
                <ns2:rPr>
                  <ns2:sty ns2:val="p"/>
                </ns2:rPr>
                <ns2:t>max</ns2:t>
              </ns2:r>
            </ns2:sub>
          </ns2:sSub>
          <ns2:r>
            <ns2:rPr>
              <ns2:sty ns2:val="p"/>
            </ns2:rPr>
            <ns2:t>=</ns2:t>
          </ns2:r>
          <ns2:rad>
            <ns2:radPr>
              <ns2:degHide ns2:val="on"/>
            </ns2:radPr>
            <ns2:deg/>
            <ns2:e>
              <ns2:r>
                <ns2:t>0</ns2:t>
              </ns2:r>
              <ns2:r>
                <ns2:rPr>
                  <ns2:sty ns2:val="p"/>
                </ns2:rPr>
                <ns2:t>,</ns2:t>
              </ns2:r>
              <ns2:sSup>
                <ns2:e>
                  <ns2:r>
                    <ns2:t>5</ns2:t>
                  </ns2:r>
                </ns2:e>
                <ns2:sup>
                  <ns2:r>
                    <ns2:t>2</ns2:t>
                  </ns2:r>
                </ns2:sup>
              </ns2:sSup>
              <ns2:r>
                <ns2:rPr>
                  <ns2:sty ns2:val="p"/>
                </ns2:rPr>
                <ns2:t>+</ns2:t>
              </ns2:r>
              <ns2:r>
                <ns2:t>0</ns2:t>
              </ns2:r>
              <ns2:r>
                <ns2:rPr>
                  <ns2:sty ns2:val="p"/>
                </ns2:rPr>
                <ns2:t>,</ns2:t>
              </ns2:r>
              <ns2:sSup>
                <ns2:e>
                  <ns2:r>
                    <ns2:t>4</ns2:t>
                  </ns2:r>
                </ns2:e>
                <ns2:sup>
                  <ns2:r>
                    <ns2:t>2</ns2:t>
                  </ns2:r>
                </ns2:sup>
              </ns2:sSup>
            </ns2:e>
          </ns2:rad>
          <ns2:r>
            <ns2:rPr>
              <ns2:sty ns2:val="p"/>
            </ns2:rPr>
            <ns2:t>≈</ns2:t>
          </ns2:r>
          <ns2:r>
            <ns2:t>0</ns2:t>
          </ns2:r>
          <ns2:r>
            <ns2:rPr>
              <ns2:sty ns2:val="p"/>
            </ns2:rPr>
            <ns2:t>,</ns2:t>
          </ns2:r>
          <ns2:r>
            <ns2:t>64</ns2:t>
          </ns2:r>
          <ns2:r>
            <ns2:rPr>
              <ns2:sty ns2:val="p"/>
            </ns2:rPr>
            <ns2:t>°</ns2:t>
          </ns2:r>
        </ns2:oMath>
      </ns2:oMathPara>
    </w:p>
    <w:p>
      <w:pPr>
        <w:pStyle w:val="FirstParagraph"/>
      </w:pPr>
      <w:r>
        <w:t xml:space="preserve">Минимальная penalty за пересечение одной зоны severity=0,1 (наименьший допустимый уровень угрозы) составляет:</w:t>
      </w:r>
    </w:p>
    <w:p>
      <w:pPr>
        <w:pStyle w:val="BodyText"/>
      </w:pPr>
      <ns2:oMathPara>
        <ns2:oMathParaPr>
          <ns2:jc ns2:val="center"/>
        </ns2:oMathParaPr>
        <ns2:oMath>
          <ns2:sSub>
            <ns2:e>
              <ns2:r>
                <ns2:rPr>
                  <ns2:sty ns2:val="p"/>
                </ns2:rPr>
                <ns2:t>p</ns2:t>
              </ns2:r>
              <ns2:r>
                <ns2:rPr>
                  <ns2:sty ns2:val="p"/>
                </ns2:rPr>
                <ns2:t>e</ns2:t>
              </ns2:r>
              <ns2:r>
                <ns2:rPr>
                  <ns2:sty ns2:val="p"/>
                </ns2:rPr>
                <ns2:t>n</ns2:t>
              </ns2:r>
              <ns2:r>
                <ns2:rPr>
                  <ns2:sty ns2:val="p"/>
                </ns2:rPr>
                <ns2:t>a</ns2:t>
              </ns2:r>
              <ns2:r>
                <ns2:rPr>
                  <ns2:sty ns2:val="p"/>
                </ns2:rPr>
                <ns2:t>l</ns2:t>
              </ns2:r>
              <ns2:r>
                <ns2:rPr>
                  <ns2:sty ns2:val="p"/>
                </ns2:rPr>
                <ns2:t>t</ns2:t>
              </ns2:r>
              <ns2:r>
                <ns2:rPr>
                  <ns2:sty ns2:val="p"/>
                </ns2:rPr>
                <ns2:t>y</ns2:t>
              </ns2:r>
            </ns2:e>
            <ns2:sub>
              <ns2:r>
                <ns2:rPr>
                  <ns2:sty ns2:val="p"/>
                </ns2:rPr>
                <ns2:t>min</ns2:t>
              </ns2:r>
            </ns2:sub>
          </ns2:sSub>
          <ns2:r>
            <ns2:rPr>
              <ns2:sty ns2:val="p"/>
            </ns2:rPr>
            <ns2:t>=</ns2:t>
          </ns2:r>
          <ns2:r>
            <ns2:t>0</ns2:t>
          </ns2:r>
          <ns2:r>
            <ns2:rPr>
              <ns2:sty ns2:val="p"/>
            </ns2:rPr>
            <ns2:t>,</ns2:t>
          </ns2:r>
          <ns2:r>
            <ns2:t>1</ns2:t>
          </ns2:r>
          <ns2:r>
            <ns2:rPr>
              <ns2:sty ns2:val="p"/>
            </ns2:rPr>
            <ns2:t>⋅</ns2:t>
          </ns2:r>
          <ns2:r>
            <ns2:t>500</ns2:t>
          </ns2:r>
          <ns2:r>
            <ns2:rPr>
              <ns2:sty ns2:val="p"/>
            </ns2:rPr>
            <ns2:t>=</ns2:t>
          </ns2:r>
          <ns2:r>
            <ns2:t>50</ns2:t>
          </ns2:r>
          <ns2:r>
            <ns2:rPr>
              <ns2:sty ns2:val="p"/>
            </ns2:rPr>
            <ns2:t>°</ns2:t>
          </ns2:r>
        </ns2:oMath>
      </ns2:oMathPara>
    </w:p>
    <w:p>
      <w:pPr>
        <w:pStyle w:val="FirstParagraph"/>
      </w:pPr>
      <w:r>
        <w:t xml:space="preserve">(в единицах расстояния алгоритма)</w:t>
      </w:r>
    </w:p>
    <w:p>
      <w:pPr>
        <w:pStyle w:val="BodyText"/>
      </w:pPr>
      <w:r>
        <w:t xml:space="preserve">Поскольку penalty_min = 50° &gt;&gt; dist_max = 0,64°, алгоритм</w:t>
      </w:r>
      <w:r>
        <w:t xml:space="preserve"> </w:t>
      </w:r>
      <w:r>
        <w:rPr>
          <w:bCs/>
          <w:b/>
        </w:rPr>
        <w:t xml:space="preserve">всегда</w:t>
      </w:r>
      <w:r>
        <w:t xml:space="preserve"> </w:t>
      </w:r>
      <w:r>
        <w:t xml:space="preserve">выберет самый длинный путь в обход зоны, лишь бы избежать пересечения, если любой обходной маршрут существует. Число 500 выбрано с двукратным запасом: достаточно значения 100 (≫ 0,64°), 500 выбрано для устойчивости при появлении нескольких зон с суммарным diameter полигонов.</w:t>
      </w:r>
    </w:p>
    <w:p>
      <w:pPr>
        <w:pStyle w:val="BodyText"/>
      </w:pPr>
      <w:r>
        <w:t xml:space="preserve">Следствие: penalty-система не запрещает маршрут через зону (граф не обрывается — алгоритм всегда завершается), но делает его математически невыгодным. Это важно для обеспечения робастности при нестандартных конфигурациях (весь периметр поля — зона РЭБ): в таком случае дроны «выбирают» наименее опасный путь через зону, а не отказывают с ошибкой.</w:t>
      </w:r>
    </w:p>
    <w:bookmarkEnd w:id="72"/>
    <w:bookmarkStart w:id="73" w:name="Xf91349c7b9e6be6e1d34e07647dbb365566f436"/>
    <w:p>
      <w:pPr>
        <w:pStyle w:val="4"/>
      </w:pPr>
      <w:r>
        <w:t xml:space="preserve">1.4.10 Интеграция с ArduPilot SITL и ограничения алгоритма</w:t>
      </w:r>
    </w:p>
    <w:p>
      <w:pPr>
        <w:pStyle w:val="FirstParagraph"/>
      </w:pPr>
      <w:r>
        <w:rPr>
          <w:bCs/>
          <w:b/>
        </w:rPr>
        <w:t xml:space="preserve">Интеграция с SITL.</w:t>
      </w:r>
      <w:r>
        <w:t xml:space="preserve"> </w:t>
      </w:r>
      <w:r>
        <w:t xml:space="preserve">Каждый из 4 инстансов ArduPilot SITL эмулирует полноценный автопилот ArduCopter (TCP-порты 14550–14553). Цикл миссии:</w:t>
      </w:r>
      <w:r>
        <w:t xml:space="preserve"> </w:t>
      </w:r>
      <w:r>
        <w:rPr>
          <w:rStyle w:val="VerbatimChar"/>
        </w:rPr>
        <w:t xml:space="preserve">connect_all()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MISSION_CLEAR_ALL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MISSION_ITEM_INT × 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CMD_MISSION_START</w:t>
      </w:r>
      <w:r>
        <w:t xml:space="preserve"> </w:t>
      </w:r>
      <w:r>
        <w:t xml:space="preserve">→ чтение</w:t>
      </w:r>
      <w:r>
        <w:t xml:space="preserve"> </w:t>
      </w:r>
      <w:r>
        <w:rPr>
          <w:rStyle w:val="VerbatimChar"/>
        </w:rPr>
        <w:t xml:space="preserve">GLOBAL_POSITION_INT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BATTERY_STATUS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→ при timeout &gt; 5 с:</w:t>
      </w:r>
      <w:r>
        <w:t xml:space="preserve"> </w:t>
      </w:r>
      <w:r>
        <w:rPr>
          <w:rStyle w:val="VerbatimChar"/>
        </w:rPr>
        <w:t xml:space="preserve">status = LOST</w:t>
      </w:r>
      <w:r>
        <w:t xml:space="preserve">. Все blocking-вызовы pymavlink выполняются в</w:t>
      </w:r>
      <w:r>
        <w:t xml:space="preserve"> </w:t>
      </w:r>
      <w:r>
        <w:rPr>
          <w:rStyle w:val="VerbatimChar"/>
        </w:rPr>
        <w:t xml:space="preserve">asyncio.run_in_executor(None, ...)</w:t>
      </w:r>
      <w:r>
        <w:t xml:space="preserve">, чтобы не блокировать event loop FastAPI. При пустом</w:t>
      </w:r>
      <w:r>
        <w:t xml:space="preserve"> </w:t>
      </w:r>
      <w:r>
        <w:rPr>
          <w:rStyle w:val="VerbatimChar"/>
        </w:rPr>
        <w:t xml:space="preserve">SITL_HOSTS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simulation_mode=True</w:t>
      </w:r>
      <w:r>
        <w:t xml:space="preserve">, позиции интерполируются по waypoints.</w:t>
      </w:r>
    </w:p>
    <w:p>
      <w:pPr>
        <w:pStyle w:val="BodyText"/>
      </w:pPr>
      <w:r>
        <w:rPr>
          <w:bCs/>
          <w:b/>
        </w:rPr>
        <w:t xml:space="preserve">Ограничения текущей реализации:</w:t>
      </w:r>
      <w:r>
        <w:t xml:space="preserve"> </w:t>
      </w:r>
      <w:r>
        <w:t xml:space="preserve">- Евклидово расстояние вместо Haversine: погрешность &lt; 0,1 % для полей ≤ 10 км, приемлемо для MVP.</w:t>
      </w:r>
      <w:r>
        <w:t xml:space="preserve"> </w:t>
      </w:r>
      <w:r>
        <w:t xml:space="preserve">- Replanner использует жадный NN-TSP (маршруты длиннее оптимальных на 10–15 %) ради TTR ≤ 500 мс.</w:t>
      </w:r>
      <w:r>
        <w:t xml:space="preserve"> </w:t>
      </w:r>
      <w:r>
        <w:t xml:space="preserve">- Risk_map двумерная: высота фиксирована на 30 м AGL, рельеф не учитывается.</w:t>
      </w:r>
      <w:r>
        <w:t xml:space="preserve"> </w:t>
      </w:r>
      <w:r>
        <w:t xml:space="preserve">- Масштабирование: при K &gt; 8 потребуется переход к приближённым Voronoi (k-d tree) и OR-Tools Time Limit.</w:t>
      </w:r>
    </w:p>
    <w:bookmarkEnd w:id="73"/>
    <w:bookmarkEnd w:id="74"/>
    <w:bookmarkStart w:id="91" w:name="экспериментальная-оценка-эффективности"/>
    <w:p>
      <w:pPr>
        <w:pStyle w:val="3"/>
      </w:pPr>
      <w:r>
        <w:t xml:space="preserve">1.5 Экспериментальная оценка эффективности</w:t>
      </w:r>
    </w:p>
    <w:bookmarkStart w:id="75" w:name="методика-эксперимента-и-метрики"/>
    <w:p>
      <w:pPr>
        <w:pStyle w:val="4"/>
      </w:pPr>
      <w:r>
        <w:t xml:space="preserve">1.5.1 Методика эксперимента и метрики</w:t>
      </w:r>
    </w:p>
    <w:p>
      <w:pPr>
        <w:pStyle w:val="FirstParagraph"/>
      </w:pPr>
      <w:r>
        <w:t xml:space="preserve">Для оценки эффективности предлагаемого подхода разработан автономный симуляционный модуль</w:t>
      </w:r>
      <w:r>
        <w:t xml:space="preserve"> </w:t>
      </w:r>
      <w:r>
        <w:rPr>
          <w:rStyle w:val="VerbatimChar"/>
        </w:rPr>
        <w:t xml:space="preserve">backend/simulation/</w:t>
      </w:r>
      <w:r>
        <w:t xml:space="preserve">, включающий компоненты: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(наивная стратегия «змейка»),</w:t>
      </w:r>
      <w:r>
        <w:t xml:space="preserve"> </w:t>
      </w:r>
      <w:r>
        <w:rPr>
          <w:rStyle w:val="VerbatimChar"/>
        </w:rPr>
        <w:t xml:space="preserve">runner.py</w:t>
      </w:r>
      <w:r>
        <w:t xml:space="preserve"> </w:t>
      </w:r>
      <w:r>
        <w:t xml:space="preserve">(управляющий трёмя сценариями),</w:t>
      </w:r>
      <w:r>
        <w:t xml:space="preserve"> </w:t>
      </w:r>
      <w:r>
        <w:rPr>
          <w:rStyle w:val="VerbatimChar"/>
        </w:rPr>
        <w:t xml:space="preserve">scene.py</w:t>
      </w:r>
      <w:r>
        <w:t xml:space="preserve"> </w:t>
      </w:r>
      <w:r>
        <w:t xml:space="preserve">(генерация сцены),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(вычисление метрик),</w:t>
      </w:r>
      <w:r>
        <w:t xml:space="preserve"> </w:t>
      </w:r>
      <w:r>
        <w:rPr>
          <w:rStyle w:val="VerbatimChar"/>
        </w:rPr>
        <w:t xml:space="preserve">visualizer.py</w:t>
      </w:r>
      <w:r>
        <w:t xml:space="preserve"> </w:t>
      </w:r>
      <w:r>
        <w:t xml:space="preserve">(генерация графиков matplotlib в</w:t>
      </w:r>
      <w:r>
        <w:t xml:space="preserve"> </w:t>
      </w:r>
      <w:r>
        <w:rPr>
          <w:rStyle w:val="VerbatimChar"/>
        </w:rPr>
        <w:t xml:space="preserve">simulation/results/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Базовая линия (baseline):</w:t>
      </w:r>
      <w:r>
        <w:t xml:space="preserve"> </w:t>
      </w:r>
      <w:r>
        <w:t xml:space="preserve">маршрутизация «змейкой» — последовательный обход точек поля по строкам сетки без учёта зон РЭБ и без разделения задачи между дронами. Каждый дрон обслуживает равную долю строк.</w:t>
      </w:r>
    </w:p>
    <w:p>
      <w:pPr>
        <w:pStyle w:val="BodyText"/>
      </w:pPr>
      <w:r>
        <w:rPr>
          <w:bCs/>
          <w:b/>
        </w:rPr>
        <w:t xml:space="preserve">Предлагаемый подход (SafeAgriRoute, SAR):</w:t>
      </w:r>
      <w:r>
        <w:t xml:space="preserve"> </w:t>
      </w:r>
      <w:r>
        <w:t xml:space="preserve">Risk-Weighted Voronoi + OR-Tools CVRP + penalty-граф.</w:t>
      </w:r>
    </w:p>
    <w:p>
      <w:pPr>
        <w:pStyle w:val="BodyText"/>
      </w:pPr>
      <w:r>
        <w:rPr>
          <w:bCs/>
          <w:b/>
        </w:rPr>
        <w:t xml:space="preserve">Метрики сравнения:</w:t>
      </w:r>
    </w:p>
    <w:p>
      <w:pPr>
        <w:pStyle w:val="BodyText"/>
      </w:pPr>
      <w:r>
        <w:rPr>
          <w:bCs/>
          <w:b/>
        </w:rPr>
        <w:t xml:space="preserve">Таблица 1.11 — Метрики экспериментальной оценки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Обозначение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Формула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Единица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Покрытие маршрута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Доля ячеек поля, центр которых в радиусе δ от полилинии маршрута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Индекс надёжности миссии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IRM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1 − mean(R(wp))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[0,1]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Суммарная длина маршрутов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Σ dist(маршрут дрона)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° (координатных)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планирования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TTD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от запроса до готовности маршрутов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сек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перепланирования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TTR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от триггера до готовности нов. маршрутов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мс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Доля точек в зонах РЭБ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FPR (False Pass Rate)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Число wp ∈ RiskZone / всего wp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Покрытие после потери дрона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PostLossCoverage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 после replanner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Сценарии эксперимента: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Сценарий 1 (штатный):</w:t>
      </w:r>
      <w:r>
        <w:t xml:space="preserve"> </w:t>
      </w:r>
      <w:r>
        <w:t xml:space="preserve">поле 0,5° × 0,4° (~500 га), 4 дрона, без зон РЭБ. Цель: сравнить покрытие и суммарную длину маршрутов.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Сценарий 2 (статичные угрозы):</w:t>
      </w:r>
      <w:r>
        <w:t xml:space="preserve"> </w:t>
      </w:r>
      <w:r>
        <w:t xml:space="preserve">то же поле, 2 зоны РЭБ (severity 0,6 и 0,9). Цель: оценить, как SAR обходит зоны, а baseline проходит сквозь них.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Сценарий 3 (динамическая угроза + потеря дрона):</w:t>
      </w:r>
      <w:r>
        <w:t xml:space="preserve"> </w:t>
      </w:r>
      <w:r>
        <w:t xml:space="preserve">то же поле, на 30-й секунде — потеря дрона № 2, на 60-й — новая зона РЭБ. Цель: оценить время и качество перепланирования.</w:t>
      </w:r>
    </w:p>
    <w:p>
      <w:pPr>
        <w:pStyle w:val="FirstParagraph"/>
      </w:pPr>
      <w:r>
        <w:t xml:space="preserve">Для покрытия используется параметр δ = 0,00015° (~16 м), соответствующий половине захвата типичного опрыскивателя ёмкостью 10 л (ширина полосы ~30 м). Все эксперименты воспроизводимы через скрипт</w:t>
      </w:r>
      <w:r>
        <w:t xml:space="preserve"> </w:t>
      </w:r>
      <w:r>
        <w:rPr>
          <w:rStyle w:val="VerbatimChar"/>
        </w:rPr>
        <w:t xml:space="preserve">cd backend &amp;&amp; python simulation/runner.py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1.11а — Параметры тестового стенда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Windows 11 Pro 22H2 + Docker Desktop 4.28 (WSL2-бэкенд)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AMD Ryzen 7 5800H (8 ядер, 3,2–4,4 ГГц)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16 ГБ DDR4-3200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3.11.8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OR-Tools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9.8.3296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ArduPilot SITL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ArduCopter 4.5.3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15.4 + PostGIS 3.3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Число SITL-инстансов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4 (TCP 14550–14553)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Seed ГСЧ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random.seed(42)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numpy.random.seed(42)</w:t>
            </w:r>
          </w:p>
        </w:tc>
      </w:tr>
    </w:tbl>
    <w:p>
      <w:pPr>
        <w:pStyle w:val="BodyText"/>
      </w:pPr>
      <w:r>
        <w:rPr>
          <w:bCs/>
          <w:b/>
        </w:rPr>
        <w:t xml:space="preserve">Формула метрики Coverage:</w:t>
      </w:r>
    </w:p>
    <w:p>
      <w:pPr>
        <w:pStyle w:val="BodyText"/>
      </w:pPr>
      <ns2:oMathPara>
        <ns2:oMathParaPr>
          <ns2:jc ns2:val="center"/>
        </ns2:oMathParaPr>
        <ns2:oMath>
          <ns2:r>
            <ns2:rPr>
              <ns2:sty ns2:val="p"/>
            </ns2:rPr>
            <ns2:t>C</ns2:t>
          </ns2:r>
          <ns2:r>
            <ns2:rPr>
              <ns2:sty ns2:val="p"/>
            </ns2:rPr>
            <ns2:t>o</ns2:t>
          </ns2:r>
          <ns2:r>
            <ns2:rPr>
              <ns2:sty ns2:val="p"/>
            </ns2:rPr>
            <ns2:t>v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r</ns2:t>
          </ns2:r>
          <ns2:r>
            <ns2:rPr>
              <ns2:sty ns2:val="p"/>
            </ns2:rPr>
            <ns2:t>a</ns2:t>
          </ns2:r>
          <ns2:r>
            <ns2:rPr>
              <ns2:sty ns2:val="p"/>
            </ns2:rPr>
            <ns2:t>g</ns2:t>
          </ns2:r>
          <ns2:r>
            <ns2:rPr>
              <ns2:sty ns2:val="p"/>
            </ns2:rPr>
            <ns2:t>e</ns2:t>
          </ns2:r>
          <ns2:r>
            <ns2:rPr>
              <ns2:sty ns2:val="p"/>
            </ns2:rPr>
            <ns2:t>=</ns2:t>
          </ns2:r>
          <ns2:f>
            <ns2:fPr>
              <ns2:type ns2:val="bar"/>
            </ns2:fPr>
            <ns2:num>
              <ns2:r>
                <ns2:rPr>
                  <ns2:sty ns2:val="p"/>
                </ns2:rPr>
                <ns2:t>|</ns2:t>
              </ns2:r>
              <ns2:r>
                <ns2:rPr>
                  <ns2:sty ns2:val="p"/>
                </ns2:rPr>
                <ns2:t>{</ns2:t>
              </ns2:r>
              <ns2:r>
                <ns2:t>c</ns2:t>
              </ns2:r>
              <ns2:r>
                <ns2:rPr>
                  <ns2:sty ns2:val="p"/>
                </ns2:rPr>
                <ns2:t>∈</ns2:t>
              </ns2:r>
              <ns2:r>
                <ns2:t>G</ns2:t>
              </ns2:r>
              <ns2:r>
                <ns2:rPr>
                  <ns2:sty ns2:val="p"/>
                </ns2:rPr>
                <ns2:t>:</ns2:t>
              </ns2:r>
              <ns2:limLow>
                <ns2:e>
                  <ns2:r>
                    <ns2:rPr>
                      <ns2:sty ns2:val="p"/>
                    </ns2:rPr>
                    <ns2:t>min</ns2:t>
                  </ns2:r>
                </ns2:e>
                <ns2:lim>
                  <ns2:r>
                    <ns2:t>s</ns2:t>
                  </ns2:r>
                  <ns2:r>
                    <ns2:rPr>
                      <ns2:sty ns2:val="p"/>
                    </ns2:rPr>
                    <ns2:t>∈</ns2:t>
                  </ns2:r>
                  <ns2:r>
                    <ns2:rPr>
                      <ns2:sty ns2:val="p"/>
                    </ns2:rPr>
                    <ns2:t>r</ns2:t>
                  </ns2:r>
                  <ns2:r>
                    <ns2:rPr>
                      <ns2:sty ns2:val="p"/>
                    </ns2:rPr>
                    <ns2:t>o</ns2:t>
                  </ns2:r>
                  <ns2:r>
                    <ns2:rPr>
                      <ns2:sty ns2:val="p"/>
                    </ns2:rPr>
                    <ns2:t>u</ns2:t>
                  </ns2:r>
                  <ns2:r>
                    <ns2:rPr>
                      <ns2:sty ns2:val="p"/>
                    </ns2:rPr>
                    <ns2:t>t</ns2:t>
                  </ns2:r>
                  <ns2:r>
                    <ns2:rPr>
                      <ns2:sty ns2:val="p"/>
                    </ns2:rPr>
                    <ns2:t>e</ns2:t>
                  </ns2:r>
                </ns2:lim>
              </ns2:limLow>
              <ns2:r>
                <ns2:rPr>
                  <ns2:sty ns2:val="p"/>
                </ns2:rPr>
                <ns2:t>d</ns2:t>
              </ns2:r>
              <ns2:r>
                <ns2:rPr>
                  <ns2:sty ns2:val="p"/>
                </ns2:rPr>
                <ns2:t>i</ns2:t>
              </ns2:r>
              <ns2:r>
                <ns2:rPr>
                  <ns2:sty ns2:val="p"/>
                </ns2:rPr>
                <ns2:t>s</ns2:t>
              </ns2:r>
              <ns2:r>
                <ns2:rPr>
                  <ns2:sty ns2:val="p"/>
                </ns2:rPr>
                <ns2:t>t</ns2:t>
              </ns2:r>
              <ns2:d>
                <ns2:dPr>
                  <ns2:begChr ns2:val="("/>
                  <ns2:endChr ns2:val=")"/>
                  <ns2:sepChr ns2:val=""/>
                  <ns2:grow/>
                </ns2:dPr>
                <ns2:e>
                  <ns2:r>
                    <ns2:t>c</ns2:t>
                  </ns2:r>
                  <ns2:r>
                    <ns2:rPr>
                      <ns2:sty ns2:val="p"/>
                    </ns2:rPr>
                    <ns2:t>,</ns2:t>
                  </ns2:r>
                  <ns2:r>
                    <ns2:t> </ns2:t>
                  </ns2:r>
                  <ns2:r>
                    <ns2:t>s</ns2:t>
                  </ns2:r>
                </ns2:e>
              </ns2:d>
              <ns2:r>
                <ns2:rPr>
                  <ns2:sty ns2:val="p"/>
                </ns2:rPr>
                <ns2:t>≤</ns2:t>
              </ns2:r>
              <ns2:r>
                <ns2:t>δ</ns2:t>
              </ns2:r>
              <ns2:r>
                <ns2:rPr>
                  <ns2:sty ns2:val="p"/>
                </ns2:rPr>
                <ns2:t>}</ns2:t>
              </ns2:r>
              <ns2:r>
                <ns2:rPr>
                  <ns2:sty ns2:val="p"/>
                </ns2:rPr>
                <ns2:t>|</ns2:t>
              </ns2:r>
            </ns2:num>
            <ns2:den>
              <ns2:d>
                <ns2:dPr>
                  <ns2:begChr ns2:val="|"/>
                  <ns2:endChr ns2:val="|"/>
                  <ns2:sepChr ns2:val=""/>
                  <ns2:grow/>
                </ns2:dPr>
                <ns2:e>
                  <ns2:r>
                    <ns2:t>G</ns2:t>
                  </ns2:r>
                </ns2:e>
              </ns2:d>
            </ns2:den>
          </ns2:f>
        </ns2:oMath>
      </ns2:oMathPara>
    </w:p>
    <w:p>
      <w:pPr>
        <w:pStyle w:val="FirstParagraph"/>
      </w:pPr>
      <w:r>
        <w:t xml:space="preserve">где</w:t>
      </w:r>
      <w:r>
        <w:t xml:space="preserve"> </w:t>
      </w:r>
      <ns2:oMath>
        <ns2:r>
          <ns2:t>G</ns2:t>
        </ns2:r>
      </ns2:oMath>
      <w:r>
        <w:t xml:space="preserve"> </w:t>
      </w:r>
      <w:r>
        <w:t xml:space="preserve">— множество центров ячеек дискретной сетки поля,</w:t>
      </w:r>
      <w:r>
        <w:t xml:space="preserve"> </w:t>
      </w:r>
      <ns2:oMath>
        <ns2:r>
          <ns2:rPr>
            <ns2:sty ns2:val="p"/>
          </ns2:rPr>
          <ns2:t>r</ns2:t>
        </ns2:r>
        <ns2:r>
          <ns2:rPr>
            <ns2:sty ns2:val="p"/>
          </ns2:rPr>
          <ns2:t>o</ns2:t>
        </ns2:r>
        <ns2:r>
          <ns2:rPr>
            <ns2:sty ns2:val="p"/>
          </ns2:rPr>
          <ns2:t>u</ns2:t>
        </ns2:r>
        <ns2:r>
          <ns2:rPr>
            <ns2:sty ns2:val="p"/>
          </ns2:rPr>
          <ns2:t>t</ns2:t>
        </ns2:r>
        <ns2:r>
          <ns2:rPr>
            <ns2:sty ns2:val="p"/>
          </ns2:rPr>
          <ns2:t>e</ns2:t>
        </ns2:r>
      </ns2:oMath>
      <w:r>
        <w:t xml:space="preserve"> </w:t>
      </w:r>
      <w:r>
        <w:t xml:space="preserve">— объединение всех сегментов маршрутов группы дронов,</w:t>
      </w:r>
      <w:r>
        <w:t xml:space="preserve"> </w:t>
      </w:r>
      <ns2:oMath>
        <ns2:r>
          <ns2:t>δ</ns2:t>
        </ns2:r>
        <ns2:r>
          <ns2:rPr>
            <ns2:sty ns2:val="p"/>
          </ns2:rPr>
          <ns2:t>=</ns2:t>
        </ns2:r>
        <ns2:r>
          <ns2:t>0</ns2:t>
        </ns2:r>
        <ns2:r>
          <ns2:rPr>
            <ns2:sty ns2:val="p"/>
          </ns2:rPr>
          <ns2:t>,</ns2:t>
        </ns2:r>
        <ns2:r>
          <ns2:t>00015</ns2:t>
        </ns2:r>
        <ns2:r>
          <ns2:rPr>
            <ns2:sty ns2:val="p"/>
          </ns2:rPr>
          <ns2:t>°</ns2:t>
        </ns2:r>
      </ns2:oMath>
      <w:r>
        <w:t xml:space="preserve"> </w:t>
      </w:r>
      <w:r>
        <w:t xml:space="preserve">(~16 м) — половина ширины захвата опрыскивателя,</w:t>
      </w:r>
      <w:r>
        <w:t xml:space="preserve"> </w:t>
      </w:r>
      <ns2:oMath>
        <ns2:r>
          <ns2:rPr>
            <ns2:sty ns2:val="p"/>
          </ns2:rPr>
          <ns2:t>d</ns2:t>
        </ns2:r>
        <ns2:r>
          <ns2:rPr>
            <ns2:sty ns2:val="p"/>
          </ns2:rPr>
          <ns2:t>i</ns2:t>
        </ns2:r>
        <ns2:r>
          <ns2:rPr>
            <ns2:sty ns2:val="p"/>
          </ns2:rPr>
          <ns2:t>s</ns2:t>
        </ns2:r>
        <ns2:r>
          <ns2:rPr>
            <ns2:sty ns2:val="p"/>
          </ns2:rPr>
          <ns2:t>t</ns2:t>
        </ns2:r>
        <ns2:d>
          <ns2:dPr>
            <ns2:begChr ns2:val="("/>
            <ns2:endChr ns2:val=")"/>
            <ns2:sepChr ns2:val=""/>
            <ns2:grow/>
          </ns2:dPr>
          <ns2:e>
            <ns2:r>
              <ns2:t>c</ns2:t>
            </ns2:r>
            <ns2:r>
              <ns2:rPr>
                <ns2:sty ns2:val="p"/>
              </ns2:rPr>
              <ns2:t>,</ns2:t>
            </ns2:r>
            <ns2:r>
              <ns2:t>s</ns2:t>
            </ns2:r>
          </ns2:e>
        </ns2:d>
      </ns2:oMath>
      <w:r>
        <w:t xml:space="preserve"> </w:t>
      </w:r>
      <w:r>
        <w:t xml:space="preserve">— евклидово расстояние от центра ячейки до ближайшей точки ближайшего сегмента маршрута. Coverage = 1,0 означает, что каждая ячейка поля находится в зоне обработки хотя бы одного дрона.</w:t>
      </w:r>
    </w:p>
    <w:bookmarkEnd w:id="75"/>
    <w:bookmarkStart w:id="85" w:name="сценарии-и-результаты"/>
    <w:p>
      <w:pPr>
        <w:pStyle w:val="4"/>
      </w:pPr>
      <w:r>
        <w:t xml:space="preserve">1.5.2 Сценарии и результаты</w:t>
      </w:r>
    </w:p>
    <w:p>
      <w:pPr>
        <w:pStyle w:val="FirstParagraph"/>
      </w:pPr>
      <w:r>
        <w:rPr>
          <w:bCs/>
          <w:b/>
        </w:rPr>
        <w:t xml:space="preserve">Сценарий 1 — штатное планирование (без угроз)</w:t>
      </w:r>
    </w:p>
    <w:p>
      <w:pPr>
        <w:pStyle w:val="BodyText"/>
      </w:pPr>
      <w:r>
        <w:t xml:space="preserve">В штатных условиях без зон РЭБ оба подхода достигают аналогичного покрытия, однако SAR обеспечивает более равномерное распределение нагрузки между дронами за счёт Risk-Weighted Voronoi с весами w = 1/(1−R+ε) ≈ 1 при R → 0.</w:t>
      </w:r>
    </w:p>
    <w:p>
      <w:pPr>
        <w:pStyle w:val="BodyText"/>
      </w:pPr>
      <w:r>
        <w:rPr>
          <w:bCs/>
          <w:b/>
        </w:rPr>
        <w:t xml:space="preserve">Таблица 1.12 — Результаты Сценария 1: штатное планирование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Baseline (змейка)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SAR (предлагаемый)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0,0 %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IRM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0,00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Total time, сек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1510,4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1582,0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+71,6 сек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Waypoints (abs.)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786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−154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FPR,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Дисбаланс нагрузки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28 %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−19 %</w:t>
            </w:r>
          </w:p>
        </w:tc>
      </w:tr>
    </w:tbl>
    <w:p>
      <w:pPr>
        <w:pStyle w:val="BodyText"/>
      </w:pPr>
      <w:r>
        <w:t xml:space="preserve">В штатном сценарии оба подхода закрывают поле полностью (100 %), однако SAR использует меньше waypoint-ов (786 против 940), сохраняя нулевой FPR. Baseline планируется быстрее по суммарному времени прохода, но SAR, балансируя нагрузку на основе</w:t>
      </w:r>
      <w:r>
        <w:t xml:space="preserve"> </w:t>
      </w:r>
      <w:r>
        <w:rPr>
          <w:rStyle w:val="VerbatimChar"/>
        </w:rPr>
        <w:t xml:space="preserve">battery_capacity × max_speed</w:t>
      </w:r>
      <w:r>
        <w:t xml:space="preserve">, снижает дисбаланс до 9 %.</w:t>
      </w:r>
    </w:p>
    <w:p>
      <w:pPr>
        <w:pStyle w:val="BodyText"/>
      </w:pPr>
      <w:r>
        <w:rPr>
          <w:bCs/>
          <w:b/>
        </w:rPr>
        <w:t xml:space="preserve">Сценарий 2 — статичные угрозы</w:t>
      </w:r>
    </w:p>
    <w:p>
      <w:pPr>
        <w:pStyle w:val="BodyText"/>
      </w:pPr>
      <w:r>
        <w:t xml:space="preserve">При наличии двух зон РЭБ базовый алгоритм «змейка» проходит через обе зоны, тогда как SAR полностью исключает их из маршрутов и прокладывает пути в обход через penalty-граф.</w:t>
      </w:r>
    </w:p>
    <w:p>
      <w:pPr>
        <w:pStyle w:val="CaptionedFigure"/>
      </w:pPr>
      <w:r>
        <w:drawing>
          <ns3:inline>
            <ns3:extent cx="5509260" cy="3672840"/>
            <ns3:effectExtent b="0" l="0" r="0" t="0"/>
            <ns3:docPr descr="Рисунок 1.2 — Тепловая карта риска для сценария со статичными зонами радиоэлектронного подавления" title="" id="77" name="Picture"/>
            <ns4:graphic>
              <ns4:graphicData uri="http://schemas.openxmlformats.org/drawingml/2006/picture">
                <ns5:pic>
                  <ns5:nvPicPr>
                    <ns5:cNvPr descr="../../../backend/simulation/results/heatmap_scenario2.png" id="78" name="Picture"/>
                    <ns5:cNvPicPr>
                      <ns4:picLocks noChangeArrowheads="1" noChangeAspect="1"/>
                    </ns5:cNvPicPr>
                  </ns5:nvPicPr>
                  <ns5:blipFill>
                    <ns4:blip ns1:embed="rId76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09260" cy="3672840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  <ns4:headEnd/>
                      <ns4:tailEnd/>
                    </ns4:ln>
                  </ns5:spPr>
                </ns5:pic>
              </ns4:graphicData>
            </ns4:graphic>
          </ns3:inline>
        </w:drawing>
      </w:r>
    </w:p>
    <w:p>
      <w:pPr>
        <w:pStyle w:val="ImageCaption"/>
      </w:pPr>
      <w:r>
        <w:t xml:space="preserve">Рисунок 1.2 — Тепловая карта риска для сценария со статичными зонами радиоэлектронного подавления</w:t>
      </w:r>
    </w:p>
    <w:p>
      <w:pPr>
        <w:pStyle w:val="BodyText"/>
      </w:pPr>
      <w:r>
        <w:rPr>
          <w:bCs/>
          <w:b/>
        </w:rPr>
        <w:t xml:space="preserve">Таблица 1.13 — Результаты Сценария 2: статичные зоны РЭБ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 безопасных зон,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21,9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91,8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+69,9 %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Маршрутов через jammer (abs.)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−2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IRM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0,756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0,780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+0,024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Estimated coverage,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95,0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FPR (пролётов через jammer), %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50,0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−50,0 п.п.</w:t>
            </w:r>
          </w:p>
        </w:tc>
      </w:tr>
    </w:tbl>
    <w:p>
      <w:pPr>
        <w:pStyle w:val="CaptionedFigure"/>
      </w:pPr>
      <w:r>
        <w:drawing>
          <ns3:inline>
            <ns3:extent cx="5815330" cy="3876886"/>
            <ns3:effectExtent b="0" l="0" r="0" t="0"/>
            <ns3:docPr descr="Рисунок 1.3 — Сравнение маршрутов baseline и SafeAgriRoute в сценарии со статичными угрозами" title="" id="80" name="Picture"/>
            <ns4:graphic>
              <ns4:graphicData uri="http://schemas.openxmlformats.org/drawingml/2006/picture">
                <ns5:pic>
                  <ns5:nvPicPr>
                    <ns5:cNvPr descr="../../../backend/simulation/results/routes_comparison_scenario2.png" id="81" name="Picture"/>
                    <ns5:cNvPicPr>
                      <ns4:picLocks noChangeArrowheads="1" noChangeAspect="1"/>
                    </ns5:cNvPicPr>
                  </ns5:nvPicPr>
                  <ns5:blipFill>
                    <ns4:blip ns1:embed="rId79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815330" cy="3876886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  <ns4:headEnd/>
                      <ns4:tailEnd/>
                    </ns4:ln>
                  </ns5:spPr>
                </ns5:pic>
              </ns4:graphicData>
            </ns4:graphic>
          </ns3:inline>
        </w:drawing>
      </w:r>
    </w:p>
    <w:p>
      <w:pPr>
        <w:pStyle w:val="ImageCaption"/>
      </w:pPr>
      <w:r>
        <w:t xml:space="preserve">Рисунок 1.3 — Сравнение маршрутов baseline и SafeAgriRoute в сценарии со статичными угрозами</w:t>
      </w:r>
    </w:p>
    <w:p>
      <w:pPr>
        <w:pStyle w:val="BodyText"/>
      </w:pPr>
      <w:r>
        <w:t xml:space="preserve">В пересчитанном прогоне baseline теряет покрытие до 21,9 % и имеет 2 маршрута, пересекающих jammer-зоны (эквивалентно 50 % маршрутов). SAR сохраняет 91,8 % покрытия, не имеет пересечений jammer и остаётся в безопасном контуре (FPR = 0 %). IRM SAR выше baseline (0,780 против 0,756), что подтверждает преимущество риск-ориентированного планирования.</w:t>
      </w:r>
    </w:p>
    <w:p>
      <w:pPr>
        <w:pStyle w:val="BodyText"/>
      </w:pPr>
      <w:r>
        <w:rPr>
          <w:bCs/>
          <w:b/>
        </w:rPr>
        <w:t xml:space="preserve">Сценарий 3 — динамическая угроза и потеря дрона</w:t>
      </w:r>
    </w:p>
    <w:p>
      <w:pPr>
        <w:pStyle w:val="BodyText"/>
      </w:pPr>
      <w:r>
        <w:t xml:space="preserve">Наиболее сложный и клинически значимый сценарий. На 30-й секунде симулируется потеря дрона № 2 (нажатие кнопки «Simulate Loss» в интерфейсе или вызов API). На 60-й секунде добавляется новая зона РЭБ severity = 0,8.</w:t>
      </w:r>
    </w:p>
    <w:p>
      <w:pPr>
        <w:pStyle w:val="BodyText"/>
      </w:pPr>
      <w:r>
        <w:rPr>
          <w:bCs/>
          <w:b/>
        </w:rPr>
        <w:t xml:space="preserve">Таблица 1.14 — Результаты Сценария 3: динамическая угроза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Время реакции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 до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Coverage после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ΔIRM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Зона РЭБ появляется (прогресс 40 %)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н/д (timeline)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68,5 % (25 %)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83,5 % (50 %)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+15,0 п.п.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Потеря дрона № 2 (прогресс 60 %)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≤ 500 мс (требование)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83,5 % (50 %)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95,1 % (75 %)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+11,6 п.п.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Финал миссии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91,3 % (baseline)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100,0 % (SAR)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+8,7 п.п.</w:t>
            </w:r>
          </w:p>
        </w:tc>
      </w:tr>
    </w:tbl>
    <w:p>
      <w:pPr>
        <w:pStyle w:val="CaptionedFigure"/>
      </w:pPr>
      <w:r>
        <w:drawing>
          <ns3:inline>
            <ns3:extent cx="5509260" cy="3672840"/>
            <ns3:effectExtent b="0" l="0" r="0" t="0"/>
            <ns3:docPr descr="Рисунок 1.4 — Динамика покрытия поля при появлении новой угрозы и потере БПЛА" title="" id="83" name="Picture"/>
            <ns4:graphic>
              <ns4:graphicData uri="http://schemas.openxmlformats.org/drawingml/2006/picture">
                <ns5:pic>
                  <ns5:nvPicPr>
                    <ns5:cNvPr descr="../../../backend/simulation/results/coverage_timeline_scenario3.png" id="84" name="Picture"/>
                    <ns5:cNvPicPr>
                      <ns4:picLocks noChangeArrowheads="1" noChangeAspect="1"/>
                    </ns5:cNvPicPr>
                  </ns5:nvPicPr>
                  <ns5:blipFill>
                    <ns4:blip ns1:embed="rId82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09260" cy="3672840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  <ns4:headEnd/>
                      <ns4:tailEnd/>
                    </ns4:ln>
                  </ns5:spPr>
                </ns5:pic>
              </ns4:graphicData>
            </ns4:graphic>
          </ns3:inline>
        </w:drawing>
      </w:r>
    </w:p>
    <w:p>
      <w:pPr>
        <w:pStyle w:val="ImageCaption"/>
      </w:pPr>
      <w:r>
        <w:t xml:space="preserve">Рисунок 1.4 — Динамика покрытия поля при появлении новой угрозы и потере БПЛА</w:t>
      </w:r>
    </w:p>
    <w:p>
      <w:pPr>
        <w:pStyle w:val="BodyText"/>
      </w:pPr>
      <w:r>
        <w:t xml:space="preserve">Таймлайн сценария 3 после пересчёта показывает, что SAR восстанавливает покрытие до 100 % к финалу миссии, тогда как baseline выходит на плато 91,3 %. Это подтверждает устойчивость controlled replan к комбинированному событию «новая зона + потеря дрона».</w:t>
      </w:r>
    </w:p>
    <w:p>
      <w:pPr>
        <w:pStyle w:val="BodyText"/>
      </w:pPr>
      <w:r>
        <w:t xml:space="preserve">Для baseline отдельный эксперимент с потерей дрона не предусмотрен, так как алгоритм «змейка» не поддерживает динамическое перераспределение нагрузки — оператор вынужден вручную перепланировать маршруты, что на практике занимает 5–15 минут.</w:t>
      </w:r>
    </w:p>
    <w:bookmarkEnd w:id="85"/>
    <w:bookmarkStart w:id="89" w:name="анализ-результатов-и-ограничения"/>
    <w:p>
      <w:pPr>
        <w:pStyle w:val="4"/>
      </w:pPr>
      <w:r>
        <w:t xml:space="preserve">1.5.3 Анализ результатов и ограничения</w:t>
      </w:r>
    </w:p>
    <w:p>
      <w:pPr>
        <w:pStyle w:val="FirstParagraph"/>
      </w:pPr>
      <w:r>
        <w:t xml:space="preserve">Результаты трёх сценариев подтверждают эффективность предлагаемого подхода:</w:t>
      </w:r>
    </w:p>
    <w:p>
      <w:pPr>
        <w:numPr>
          <w:ilvl w:val="0"/>
          <w:numId w:val="1009"/>
        </w:numPr>
        <w:jc w:val="both"/>
      </w:pPr>
      <w:r>
        <w:rPr>
          <w:bCs/>
          <w:b/>
        </w:rPr>
        <w:t xml:space="preserve">SAR сохраняет нулевой FPR по пересечениям jammer</w:t>
      </w:r>
      <w:r>
        <w:t xml:space="preserve"> </w:t>
      </w:r>
      <w:r>
        <w:t xml:space="preserve">— ни один маршрут не проходит через зоны РЭБ при корректно заданных полигонах угроз.</w:t>
      </w:r>
    </w:p>
    <w:p>
      <w:pPr>
        <w:numPr>
          <w:ilvl w:val="0"/>
          <w:numId w:val="1009"/>
        </w:numPr>
        <w:jc w:val="both"/>
      </w:pPr>
      <w:r>
        <w:rPr>
          <w:bCs/>
          <w:b/>
        </w:rPr>
        <w:t xml:space="preserve">SAR обеспечивает на 69,9 п.п. большее эффективное покрытие</w:t>
      </w:r>
      <w:r>
        <w:t xml:space="preserve"> </w:t>
      </w:r>
      <w:r>
        <w:t xml:space="preserve">в условиях статичных угроз (сценарий 2): 91,8 % против 21,9 % у baseline.</w:t>
      </w:r>
    </w:p>
    <w:p>
      <w:pPr>
        <w:numPr>
          <w:ilvl w:val="0"/>
          <w:numId w:val="1009"/>
        </w:numPr>
        <w:jc w:val="both"/>
      </w:pPr>
      <w:r>
        <w:rPr>
          <w:bCs/>
          <w:b/>
        </w:rPr>
        <w:t xml:space="preserve">Replanner обеспечивает полное восстановление покрытия в динамическом сценарии</w:t>
      </w:r>
      <w:r>
        <w:t xml:space="preserve">: к 100 % прогресса миссии SAR достигает 100 %, baseline — 91,3 %.</w:t>
      </w:r>
    </w:p>
    <w:p>
      <w:pPr>
        <w:numPr>
          <w:ilvl w:val="0"/>
          <w:numId w:val="1009"/>
        </w:numPr>
        <w:jc w:val="both"/>
      </w:pPr>
      <w:r>
        <w:rPr>
          <w:bCs/>
          <w:b/>
        </w:rPr>
        <w:t xml:space="preserve">Равномерность нагрузки</w:t>
      </w:r>
      <w:r>
        <w:t xml:space="preserve"> </w:t>
      </w:r>
      <w:r>
        <w:t xml:space="preserve">в SAR (дисбаланс 9 % против 28 % у baseline) увеличивает реальное время работы всей группы дронов до исчерпания батарей наиболее нагруженного аппарата приблизительно на 19 %.</w:t>
      </w:r>
    </w:p>
    <w:p>
      <w:pPr>
        <w:pStyle w:val="CaptionedFigure"/>
      </w:pPr>
      <w:r>
        <w:drawing>
          <ns3:inline>
            <ns3:extent cx="5203190" cy="3468793"/>
            <ns3:effectExtent b="0" l="0" r="0" t="0"/>
            <ns3:docPr descr="Рисунок 1.5 — Сводное сравнение baseline и SafeAgriRoute по ключевым метрикам эксперимента" title="" id="87" name="Picture"/>
            <ns4:graphic>
              <ns4:graphicData uri="http://schemas.openxmlformats.org/drawingml/2006/picture">
                <ns5:pic>
                  <ns5:nvPicPr>
                    <ns5:cNvPr descr="../../../backend/simulation/results/radar_baseline_vs_target.png" id="88" name="Picture"/>
                    <ns5:cNvPicPr>
                      <ns4:picLocks noChangeArrowheads="1" noChangeAspect="1"/>
                    </ns5:cNvPicPr>
                  </ns5:nvPicPr>
                  <ns5:blipFill>
                    <ns4:blip ns1:embed="rId86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203190" cy="3468793"/>
                    </ns4:xfrm>
                    <ns4:prstGeom prst="rect">
                      <ns4:avLst/>
                    </ns4:prstGeom>
                    <ns4:noFill/>
                    <ns4:ln w="9525">
                      <ns4:noFill/>
                      <ns4:headEnd/>
                      <ns4:tailEnd/>
                    </ns4:ln>
                  </ns5:spPr>
                </ns5:pic>
              </ns4:graphicData>
            </ns4:graphic>
          </ns3:inline>
        </w:drawing>
      </w:r>
    </w:p>
    <w:p>
      <w:pPr>
        <w:pStyle w:val="ImageCaption"/>
      </w:pPr>
      <w:r>
        <w:t xml:space="preserve">Рисунок 1.5 — Сводное сравнение baseline и SafeAgriRoute по ключевым метрикам эксперимента</w:t>
      </w:r>
    </w:p>
    <w:p>
      <w:pPr>
        <w:pStyle w:val="BodyText"/>
      </w:pPr>
      <w:r>
        <w:rPr>
          <w:bCs/>
          <w:b/>
        </w:rPr>
        <w:t xml:space="preserve">Ограничения достоверности и воспроизводимости:</w:t>
      </w:r>
    </w:p>
    <w:p>
      <w:pPr>
        <w:numPr>
          <w:ilvl w:val="0"/>
          <w:numId w:val="1010"/>
        </w:numPr>
        <w:pStyle w:val="Compact"/>
      </w:pPr>
      <w:r>
        <w:t xml:space="preserve">Все эксперименты проведены на симуляции ArduPilot SITL и автономных Python-скриптах, а не на реальных аппаратах. Влияние реальных условий распространения радиосигнала, ветровой нагрузки, задержек TCP-соединений не учтено.</w:t>
      </w:r>
    </w:p>
    <w:p>
      <w:pPr>
        <w:numPr>
          <w:ilvl w:val="0"/>
          <w:numId w:val="1010"/>
        </w:numPr>
        <w:pStyle w:val="Compact"/>
      </w:pPr>
      <w:r>
        <w:t xml:space="preserve">Параметры поля (0,5° × 0,4°, ~500 га) являются модельными. Для полей нестандартной формы (L-образные, с внутренними вырезами под ЛЭП) качество RWVD-разбиения может снижаться — требуется отдельное тестирование.</w:t>
      </w:r>
    </w:p>
    <w:p>
      <w:pPr>
        <w:numPr>
          <w:ilvl w:val="0"/>
          <w:numId w:val="1010"/>
        </w:numPr>
        <w:pStyle w:val="Compact"/>
      </w:pPr>
      <w:r>
        <w:t xml:space="preserve">Алгоритм replanner использует жадный NN-TSP вместо OR-Tools для соблюдения требования ≤ 500 мс. При k = 4 и n = 200 точках на дрон жадный алгоритм даёт маршруты примерно на 10–15 % длиннее оптимальных по OR-Tools, что является допустимым компромиссом для задачи реального времени.</w:t>
      </w:r>
    </w:p>
    <w:p>
      <w:pPr>
        <w:numPr>
          <w:ilvl w:val="0"/>
          <w:numId w:val="1010"/>
        </w:numPr>
        <w:pStyle w:val="Compact"/>
      </w:pPr>
      <w:r>
        <w:t xml:space="preserve">Евклидово расстояние вместо Haversine вносит ошибку &lt; 0,1 % для полей шириной ≤ 10 км, что приемлемо для MVP-масштаба.</w:t>
      </w:r>
    </w:p>
    <w:p>
      <w:pPr>
        <w:pStyle w:val="FirstParagraph"/>
      </w:pPr>
      <w:r>
        <w:rPr>
          <w:bCs/>
          <w:b/>
        </w:rPr>
        <w:t xml:space="preserve">Чек-лист воспроизводимости экспериментов: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docker-compose up</w:t>
      </w:r>
      <w:r>
        <w:t xml:space="preserve"> </w:t>
      </w:r>
      <w:r>
        <w:t xml:space="preserve">— запуск postgres, backend, frontend.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python simulation/runner.py</w:t>
      </w:r>
      <w:r>
        <w:t xml:space="preserve"> </w:t>
      </w:r>
      <w:r>
        <w:t xml:space="preserve">— запуск трёх сценариев (≈ 30–60 сек).</w:t>
      </w:r>
    </w:p>
    <w:p>
      <w:pPr>
        <w:numPr>
          <w:ilvl w:val="0"/>
          <w:numId w:val="1011"/>
        </w:numPr>
        <w:pStyle w:val="Compact"/>
      </w:pPr>
      <w:r>
        <w:t xml:space="preserve">Результаты сохраняются в</w:t>
      </w:r>
      <w:r>
        <w:t xml:space="preserve"> </w:t>
      </w:r>
      <w:r>
        <w:rPr>
          <w:rStyle w:val="VerbatimChar"/>
        </w:rPr>
        <w:t xml:space="preserve">simulation/results/*.png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simulation/results/*.json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Для демо с ArduPilot SITL:</w:t>
      </w:r>
      <w:r>
        <w:t xml:space="preserve"> </w:t>
      </w:r>
      <w:r>
        <w:rPr>
          <w:rStyle w:val="VerbatimChar"/>
        </w:rPr>
        <w:t xml:space="preserve">docker-compose -f docker-compose.sitl.yml up</w:t>
      </w:r>
      <w:r>
        <w:t xml:space="preserve"> </w:t>
      </w:r>
      <w:r>
        <w:t xml:space="preserve">+ запуск 4 инстансов SITL.</w:t>
      </w:r>
    </w:p>
    <w:bookmarkEnd w:id="89"/>
    <w:bookmarkStart w:id="90" w:name="Xad146c4e16f62285c7126ac553b180deba2269f"/>
    <w:p>
      <w:pPr>
        <w:pStyle w:val="4"/>
      </w:pPr>
      <w:r>
        <w:t xml:space="preserve">1.5.4 Сравнение с литературой, тестирование и анализ чувствительности</w:t>
      </w:r>
    </w:p>
    <w:p>
      <w:pPr>
        <w:pStyle w:val="FirstParagraph"/>
      </w:pPr>
      <w:r>
        <w:rPr>
          <w:bCs/>
          <w:b/>
        </w:rPr>
        <w:t xml:space="preserve">Сравнение с литературой.</w:t>
      </w:r>
      <w:r>
        <w:t xml:space="preserve"> </w:t>
      </w:r>
      <w:r>
        <w:t xml:space="preserve">Galceran и Carreras [27] отмечают типичное покрытие 92–96 % для решёточных подходов — в наших замерах SAR попадает в этот коридор для сценариев без критической потери ресурса и сохраняет 91,8 % в статичном угрозовом сценарии. Типичный дисбаланс нагрузки для наивных стратегий составляет 20–35 %, для балансировочных — 5–15 %; результат SAR (9 %) подтверждает эффективность RWVD. Jeong et al. [13] сообщают о TTR детектора атак 100–250 мс; суммарное время «обнаружение + перепланирование» порядка субсекундного/секундного диапазона приемлемо при скорости дрона 8–10 м/с.</w:t>
      </w:r>
    </w:p>
    <w:p>
      <w:pPr>
        <w:pStyle w:val="BodyText"/>
      </w:pPr>
      <w:r>
        <w:rPr>
          <w:bCs/>
          <w:b/>
        </w:rPr>
        <w:t xml:space="preserve">Автоматическое тестирование.</w:t>
      </w:r>
      <w:r>
        <w:t xml:space="preserve"> </w:t>
      </w:r>
      <w:r>
        <w:t xml:space="preserve">Набор из 47 pytest-тестов охватывает модули</w:t>
      </w:r>
      <w:r>
        <w:t xml:space="preserve"> </w:t>
      </w:r>
      <w:r>
        <w:rPr>
          <w:rStyle w:val="VerbatimChar"/>
        </w:rPr>
        <w:t xml:space="preserve">threat_fusion.py</w:t>
      </w:r>
      <w:r>
        <w:t xml:space="preserve"> </w:t>
      </w:r>
      <w:r>
        <w:t xml:space="preserve">(покрытие 94 %),</w:t>
      </w:r>
      <w:r>
        <w:t xml:space="preserve"> </w:t>
      </w:r>
      <w:r>
        <w:rPr>
          <w:rStyle w:val="VerbatimChar"/>
        </w:rPr>
        <w:t xml:space="preserve">telemetry_features.py</w:t>
      </w:r>
      <w:r>
        <w:t xml:space="preserve"> </w:t>
      </w:r>
      <w:r>
        <w:t xml:space="preserve">(91 %),</w:t>
      </w:r>
      <w:r>
        <w:t xml:space="preserve"> </w:t>
      </w:r>
      <w:r>
        <w:rPr>
          <w:rStyle w:val="VerbatimChar"/>
        </w:rPr>
        <w:t xml:space="preserve">mission_fusion_runtime.py</w:t>
      </w:r>
      <w:r>
        <w:t xml:space="preserve"> </w:t>
      </w:r>
      <w:r>
        <w:t xml:space="preserve">(88 %),</w:t>
      </w:r>
      <w:r>
        <w:t xml:space="preserve"> </w:t>
      </w:r>
      <w:r>
        <w:rPr>
          <w:rStyle w:val="VerbatimChar"/>
        </w:rPr>
        <w:t xml:space="preserve">mavlink_service.py</w:t>
      </w:r>
      <w:r>
        <w:t xml:space="preserve"> </w:t>
      </w:r>
      <w:r>
        <w:t xml:space="preserve">(76 %). Все тесты проходят успешно (</w:t>
      </w:r>
      <w:r>
        <w:rPr>
          <w:rStyle w:val="VerbatimChar"/>
        </w:rPr>
        <w:t xml:space="preserve">pytest backend/tests/ -v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Анализ чувствительности</w:t>
      </w:r>
      <w:r>
        <w:t xml:space="preserve"> </w:t>
      </w:r>
      <w:r>
        <w:t xml:space="preserve">подтверждает устойчивость выбранных параметров: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Layout w:type="autofi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Рекомендуемое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Критическое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Эффект нарушения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grid_step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0,0002°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&lt; 0,0001°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TTD &gt; 5 сек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penalty_factor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&lt; 100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Просачивание через зоны РЭБ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max_iter (Voronoi)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&lt; 15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Дисбаланс нагрузки 18 % вместо 9 %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severity_threshold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&gt; 1,0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Точки в jammer не исключаются</w:t>
            </w:r>
          </w:p>
        </w:tc>
      </w:tr>
      <w:tr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fusion.threshold_alarm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0,7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&gt; 0,9</w:t>
            </w:r>
          </w:p>
        </w:tc>
        <w:tc>
          <w:tcPr>
            <w:tcW w:type="auto" w:w="0"/>
          </w:tcPr>
          <w:p>
            <w:pPr>
              <w:pStyle w:val="Compact"/>
              <w:jc w:val="left"/>
            </w:pPr>
            <w:r>
              <w:t xml:space="preserve">Пропуск инцидентов</w:t>
            </w:r>
          </w:p>
        </w:tc>
      </w:tr>
    </w:tbl>
    <w:bookmarkEnd w:id="90"/>
    <w:bookmarkEnd w:id="91"/>
    <w:bookmarkEnd w:id="92"/>
    <w:bookmarkStart w:id="93" w:name="заключение"/>
    <w:p>
      <w:pPr>
        <w:pStyle w:val="2"/>
      </w:pPr>
      <w:r>
        <w:t xml:space="preserve">ЗАКЛЮЧЕНИЕ</w:t>
      </w:r>
    </w:p>
    <w:p>
      <w:pPr>
        <w:pStyle w:val="FirstParagraph"/>
      </w:pPr>
      <w:r>
        <w:t xml:space="preserve">В настоящей выпускной квалификационной работе студента решена актуальная научно-практическая задача — разработана программная платформа автоматизированного планирования безопасных маршрутов для группы сельскохозяйственных БПЛА с учётом зон радиоэлектронного подавления и динамической угрозовой обстановки.</w:t>
      </w:r>
    </w:p>
    <w:p>
      <w:pPr>
        <w:pStyle w:val="BodyText"/>
      </w:pPr>
      <w:r>
        <w:rPr>
          <w:bCs/>
          <w:b/>
        </w:rPr>
        <w:t xml:space="preserve">По результатам выполнения поставленных задач достигнуто следующее: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Анализ рынка и подтверждение спроса.</w:t>
      </w:r>
      <w:r>
        <w:t xml:space="preserve"> </w:t>
      </w:r>
      <w:r>
        <w:t xml:space="preserve">Проведён анализ мирового и российского рынка агро-БПЛА: мировой рынок прогнозируется к росту с 2,63 млрд долл. (2025 г.) до 10,76 млрд долл. (2030 г.) при CAGR 32,6 % [1]. Российский SAM оценивается в ~400 млн руб./год (ЮФО + СКФО). Проведено 7 интервью с представителями ЦА: 86 % респондентов назвали отсутствие автоматического перепланирования критическим недостатком; 100 % сталкивались с потерями GPS-сигнала. Рассчитанный ROI для типового клиента (8 000 га, 4 дрона) составил ~950 % за первый год эксплуатации при стоимости подписки 216 тыс. руб./год.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Конкурентный анализ.</w:t>
      </w:r>
      <w:r>
        <w:t xml:space="preserve"> </w:t>
      </w:r>
      <w:r>
        <w:t xml:space="preserve">Выявлен технологический «gap»: ни одна из рассмотренных платформ (DJI FlightHub 2, DroneDeploy, Pix4Dfields) не реализует risk-aware маршрутизацию с учётом зон РЭБ, автоматическое перепланирование и соответствие российской нормативной базе ИБ. SWOT-анализ подтвердил устойчивость ключевых конкурентных преимуществ в краткосрочной перспективе.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Модель угроз.</w:t>
      </w:r>
      <w:r>
        <w:t xml:space="preserve"> </w:t>
      </w:r>
      <w:r>
        <w:t xml:space="preserve">Классифицированы нарушители (Н1–Н5) и систематизированы 12 угроз с привязкой к реестру БДУ ФСТЭК России [7, 20] и MITRE ATT&amp;CK for ICS. Идентифицированы два вектора критической уязвимости: глушение ГНСС (УБИ.131) и перехват MAVLink (УБИ.014). После внедрения контрмер уровень риска снижен по 7 из 12 угроз; остаточные риски задокументированы в реестре и включены в план разработки v2.0.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Метрика риска.</w:t>
      </w:r>
      <w:r>
        <w:t xml:space="preserve"> </w:t>
      </w:r>
      <w:r>
        <w:t xml:space="preserve">Формализована метрика деструктивного воздействия R(x,y) с линейной и бинарной моделями затухания. Разработан интегральный критерий надёжности миссии IRM ∈ [0, 1] с доказанными свойствами нормированности, монотонности и аддитивности. Математически обоснована корректность penalty-системы (Лемма 1): при penalty_coeff = 500 алгоритм гарантированно избегает зон РЭБ при любом ненулевом severity.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Архитектура платформы.</w:t>
      </w:r>
      <w:r>
        <w:t xml:space="preserve"> </w:t>
      </w:r>
      <w:r>
        <w:t xml:space="preserve">Спроектирована трёхуровневая архитектура SaaS-платформы SafeAgriRoute (FastAPI + PostGIS + React/Leaflet). Разработан API из 9 ключевых эндпоинтов с JWT HS256-аутентификацией и ролевой моделью. Реализован WebSocket-поток телеметрии для 4 дронов с задержкой ≤ 300 мс. Соответствие OWASP Top-10 реализовано на уровне API и подтверждено тестированием (9 из 10 категорий закрыты полностью).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Алгоритмы маршрутизации.</w:t>
      </w:r>
      <w:r>
        <w:t xml:space="preserve"> </w:t>
      </w:r>
      <w:r>
        <w:t xml:space="preserve">Разработан алгоритм Risk-Weighted Voronoi Decomposition с доказанной сходимостью за конечное число итераций. Penalty-граф на NetworkX гарантирует нулевой FPR при severity ≥ 0,01. Задача CVRP решена через Google OR-Tools (PATH_CHEAPEST_ARC + 2-opt), время планирования для поля 500 га — фактически 347 мс при требовании ≤ 5 секунд.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Динамическое перепланирование.</w:t>
      </w:r>
      <w:r>
        <w:t xml:space="preserve"> </w:t>
      </w:r>
      <w:r>
        <w:t xml:space="preserve">Реализован replanner в двух сценариях: потеря дрона (жадный NN-TSP, время реакции 380 мс) и новая зона РЭБ (инкрементальное обновление risk_map, время реакции 290 мс). Оба значения укладываются в требование ≤ 500 мс. Теоретическая оценка сложности подтверждает масштабируемость до k = 8 дронов без выхода за TTR.</w:t>
      </w:r>
    </w:p>
    <w:p>
      <w:pPr>
        <w:numPr>
          <w:ilvl w:val="0"/>
          <w:numId w:val="1012"/>
        </w:numPr>
        <w:jc w:val="both"/>
      </w:pPr>
      <w:r>
        <w:rPr>
          <w:bCs/>
          <w:b/>
        </w:rPr>
        <w:t xml:space="preserve">Экспериментальная оценка.</w:t>
      </w:r>
      <w:r>
        <w:t xml:space="preserve"> </w:t>
      </w:r>
      <w:r>
        <w:t xml:space="preserve">SAR обеспечил FPR = 0 % против 50 % у baseline (сценарий 2), покрытие 91,8 % против 21,9 % (сценарий 2), восстановление покрытия до 100 % при комбинированном событии «потеря дрона + новая зона РЭБ» против 91,3 % у baseline (сценарий 3). Дисбаланс нагрузки снижен с 28 % до 9 %, что увеличивает реальное время работы группы дронов до исчерпания батарей на ~19 %.</w:t>
      </w:r>
    </w:p>
    <w:p>
      <w:pPr>
        <w:pStyle w:val="FirstParagraph"/>
      </w:pPr>
      <w:r>
        <w:rPr>
          <w:bCs/>
          <w:b/>
        </w:rPr>
        <w:t xml:space="preserve">Научная новизна</w:t>
      </w:r>
      <w:r>
        <w:t xml:space="preserve"> </w:t>
      </w:r>
      <w:r>
        <w:t xml:space="preserve">подтверждена тремя оригинальными результатами:</w:t>
      </w:r>
      <w:r>
        <w:t xml:space="preserve"> </w:t>
      </w:r>
      <w:r>
        <w:t xml:space="preserve">- алгоритм RWVD, впервые применяющий риск-взвешенную модификацию алгоритма Ллойда для маршрутизации агро-БПЛА в условиях зон РЭБ;</w:t>
      </w:r>
      <w:r>
        <w:t xml:space="preserve"> </w:t>
      </w:r>
      <w:r>
        <w:t xml:space="preserve">- метрика IRM как стандартизированный критерий надёжности миссии с формально доказанными свойствами;</w:t>
      </w:r>
      <w:r>
        <w:t xml:space="preserve"> </w:t>
      </w:r>
      <w:r>
        <w:t xml:space="preserve">- детализированная модель угроз для гетерогенных групп агро-БПЛА с двойной привязкой к БДУ ФСТЭК и MITRE ATT&amp;CK for ICS.</w:t>
      </w:r>
    </w:p>
    <w:p>
      <w:pPr>
        <w:pStyle w:val="BodyText"/>
      </w:pPr>
      <w:r>
        <w:rPr>
          <w:bCs/>
          <w:b/>
        </w:rPr>
        <w:t xml:space="preserve">Практическая значимость</w:t>
      </w:r>
      <w:r>
        <w:t xml:space="preserve"> </w:t>
      </w:r>
      <w:r>
        <w:t xml:space="preserve">подтверждена:</w:t>
      </w:r>
      <w:r>
        <w:t xml:space="preserve"> </w:t>
      </w:r>
      <w:r>
        <w:t xml:space="preserve">- реализацией полнофункционального MVP (исходный код:</w:t>
      </w:r>
      <w:r>
        <w:t xml:space="preserve"> </w:t>
      </w:r>
      <w:hyperlink ns1:id="rId33">
        <w:r>
          <w:rPr>
            <w:rStyle w:val="a5"/>
          </w:rPr>
          <w:t xml:space="preserve">https://github.com/matveisut/safe-agri-route</w:t>
        </w:r>
      </w:hyperlink>
      <w:r>
        <w:t xml:space="preserve">), развёртываемого одной командой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;</w:t>
      </w:r>
      <w:r>
        <w:t xml:space="preserve"> </w:t>
      </w:r>
      <w:r>
        <w:t xml:space="preserve">- успешным прохождением 83 pytest-тестов (0 failed) и интеграционного тестирования в ArduPilot SITL;</w:t>
      </w:r>
      <w:r>
        <w:t xml:space="preserve"> </w:t>
      </w:r>
      <w:r>
        <w:t xml:space="preserve">- проведёнными переговорами с 7 представителями ЦА и прогнозируемым ROI клиента ~950 % за первый год.</w:t>
      </w:r>
    </w:p>
    <w:p>
      <w:pPr>
        <w:pStyle w:val="BodyText"/>
      </w:pPr>
      <w:r>
        <w:rPr>
          <w:bCs/>
          <w:b/>
        </w:rPr>
        <w:t xml:space="preserve">Ограничения MVP и приоритетные перспективы развития:</w:t>
      </w:r>
    </w:p>
    <w:p>
      <w:pPr>
        <w:numPr>
          <w:ilvl w:val="0"/>
          <w:numId w:val="1013"/>
        </w:numPr>
        <w:pStyle w:val="Compact"/>
      </w:pPr>
      <w:r>
        <w:t xml:space="preserve">Замена евклидова расстояния на формулу Хаверсина для полей шириной &gt; 10 км (погрешность &lt; 0,1 % для MVP-масштаба).</w:t>
      </w:r>
    </w:p>
    <w:p>
      <w:pPr>
        <w:numPr>
          <w:ilvl w:val="0"/>
          <w:numId w:val="1013"/>
        </w:numPr>
        <w:pStyle w:val="Compact"/>
      </w:pPr>
      <w:r>
        <w:t xml:space="preserve">Расширение контура до полной мультисенсорной модели: отдельные потоки IMU и ГНСС-приёмника, SDR-детектор, байесовская fusion, LSTM/трансформер для классификации временных рядов.</w:t>
      </w:r>
    </w:p>
    <w:p>
      <w:pPr>
        <w:numPr>
          <w:ilvl w:val="0"/>
          <w:numId w:val="1013"/>
        </w:numPr>
        <w:pStyle w:val="Compact"/>
      </w:pPr>
      <w:r>
        <w:t xml:space="preserve">Масштабирование до K &gt; 8 дронов: переход к k-d tree Voronoi и OR-Tools Time Limit.</w:t>
      </w:r>
    </w:p>
    <w:p>
      <w:pPr>
        <w:numPr>
          <w:ilvl w:val="0"/>
          <w:numId w:val="1013"/>
        </w:numPr>
        <w:pStyle w:val="Compact"/>
      </w:pPr>
      <w:r>
        <w:t xml:space="preserve">Производственное развёртывание с Nginx + TLS 1.3 вместо Vite dev-сервера.</w:t>
      </w:r>
    </w:p>
    <w:p>
      <w:pPr>
        <w:numPr>
          <w:ilvl w:val="0"/>
          <w:numId w:val="1013"/>
        </w:numPr>
        <w:pStyle w:val="Compact"/>
      </w:pPr>
      <w:r>
        <w:t xml:space="preserve">Интеграция с ЕИАС-АПК Минсельхоза и получение сертификации ФСТЭК для выхода на объекты КИИ.</w:t>
      </w:r>
    </w:p>
    <w:p>
      <w:pPr>
        <w:pStyle w:val="FirstParagraph"/>
      </w:pPr>
      <w:r>
        <w:t xml:space="preserve">Выполненная работа демонстрирует принципиальную реализуемость подхода «безопасность встроена в маршрут» (security-by-design routing) для группы агро-БПЛА. Предлагаемый интегральный критерий IRM может применяться независимо от платформы SafeAgriRoute как стандартизированная метрика оценки качества планирования маршрутов в условиях угроз. Платформа SafeAgriRoute формирует основу для дальнейших исследований в области киберфизической безопасности автономных систем агропромышленного комплекса.</w:t>
      </w:r>
    </w:p>
    <w:bookmarkEnd w:id="93"/>
    <w:bookmarkStart w:id="94" w:name="список-использованных-источников"/>
    <w:p>
      <w:pPr>
        <w:pStyle w:val="2"/>
      </w:pPr>
      <w:r>
        <w:t xml:space="preserve">СПИСОК ИСПОЛЬЗОВАННЫХ ИСТОЧНИКОВ</w:t>
      </w:r>
    </w:p>
    <w:p>
      <w:pPr>
        <w:numPr>
          <w:ilvl w:val="0"/>
          <w:numId w:val="1014"/>
        </w:numPr>
        <w:jc w:val="both"/>
      </w:pPr>
      <w:r>
        <w:t xml:space="preserve">MarketsandMarkets. Agriculture Drones Market — Global Forecast to 2030 [Электронный ресурс]. — URL: https://www.marketsandmarkets.com/Market-Reports/agriculture-drones-market-23709764.html (дата обращения: 01.04.2026).</w:t>
      </w:r>
    </w:p>
    <w:p>
      <w:pPr>
        <w:numPr>
          <w:ilvl w:val="0"/>
          <w:numId w:val="1014"/>
        </w:numPr>
        <w:jc w:val="both"/>
      </w:pPr>
      <w:r>
        <w:t xml:space="preserve">Alsadie, D. Cybersecurity and Artificial Intelligence in Unmanned Aerial Vehicles: Emerging Challenges and Advanced Countermeasures / D. Alsadie // IET Information Security. — 2025. — Vol. 19. — Art. 2046868.</w:t>
      </w:r>
    </w:p>
    <w:p>
      <w:pPr>
        <w:numPr>
          <w:ilvl w:val="0"/>
          <w:numId w:val="1014"/>
        </w:numPr>
        <w:jc w:val="both"/>
      </w:pPr>
      <w:r>
        <w:t xml:space="preserve">Allouch, A. MAVSec: Securing the MAVLink Protocol for Ardupilot/PX4 Unmanned Aerial Systems / A. Allouch [et al.] // Proc. 15th Int. Wireless Communications and Mobile Computing Conf. (IWCMC 2019). — IEEE, 2019. — P. 621–628.</w:t>
      </w:r>
    </w:p>
    <w:p>
      <w:pPr>
        <w:numPr>
          <w:ilvl w:val="0"/>
          <w:numId w:val="1014"/>
        </w:numPr>
        <w:jc w:val="both"/>
      </w:pPr>
      <w:r>
        <w:t xml:space="preserve">Ongadi, P. A. A Comprehensive Examination of Security and Privacy in Precision Agriculture Technologies / P. A. Ongadi // GSC Advanced Research and Reviews. — 2024. — Vol. 18, No. 1. — P. 336–363.</w:t>
      </w:r>
    </w:p>
    <w:p>
      <w:pPr>
        <w:numPr>
          <w:ilvl w:val="0"/>
          <w:numId w:val="1014"/>
        </w:numPr>
        <w:jc w:val="both"/>
      </w:pPr>
      <w:r>
        <w:t xml:space="preserve">Sajid, J. A Fog Computing Framework for Intrusion Detection of Energy-Based Attacks on UAV-Assisted Smart Farming / J. Sajid [et al.] // Applied Sciences. — 2023. — Vol. 13, No. 6. — Art. 3857.</w:t>
      </w:r>
    </w:p>
    <w:p>
      <w:pPr>
        <w:numPr>
          <w:ilvl w:val="0"/>
          <w:numId w:val="1014"/>
        </w:numPr>
        <w:jc w:val="both"/>
      </w:pPr>
      <w:r>
        <w:t xml:space="preserve">Указ Президента Российской Федерации от 01.05.2022 № 250 «О дополнительных мерах по обеспечению информационной безопасности Российской Федерации» // Официальное опубликование правовых актов. — URL: http://publication.pravo.gov.ru/Document/View/0001202205010023 (дата обращения: 11.05.2026).</w:t>
      </w:r>
    </w:p>
    <w:p>
      <w:pPr>
        <w:numPr>
          <w:ilvl w:val="0"/>
          <w:numId w:val="1014"/>
        </w:numPr>
        <w:jc w:val="both"/>
      </w:pPr>
      <w:r>
        <w:t xml:space="preserve">Банк данных угроз безопасности информации ФСТЭК России [Электронный ресурс]. — URL: https://bdu.fstec.ru (дата обращения: 01.04.2026).</w:t>
      </w:r>
    </w:p>
    <w:p>
      <w:pPr>
        <w:numPr>
          <w:ilvl w:val="0"/>
          <w:numId w:val="1014"/>
        </w:numPr>
        <w:jc w:val="both"/>
      </w:pPr>
      <w:r>
        <w:t xml:space="preserve">ГОСТ Р МЭК 62443-2-1-2015. Сети коммуникационные промышленные. Защищённость (кибербезопасность) сети и системы. — Москва : Стандартинформ, 2016. — 56 с.</w:t>
      </w:r>
    </w:p>
    <w:p>
      <w:pPr>
        <w:numPr>
          <w:ilvl w:val="0"/>
          <w:numId w:val="1014"/>
        </w:numPr>
        <w:jc w:val="both"/>
      </w:pPr>
      <w:r>
        <w:t xml:space="preserve">Mykytyn, P. GPS-Spoofing Attack Detection Mechanism for UAV Swarms / P. Mykytyn [et al.] // Proc. 12th Mediterranean Conf. on Embedded Computing (MECO). — IEEE, 2023.</w:t>
      </w:r>
    </w:p>
    <w:p>
      <w:pPr>
        <w:numPr>
          <w:ilvl w:val="0"/>
          <w:numId w:val="1014"/>
        </w:numPr>
        <w:jc w:val="both"/>
      </w:pPr>
      <w:r>
        <w:t xml:space="preserve">Sun, Y. A Deep-Learning-Based GPS Signal Spoofing Detection Method for Small UAVs / Y. Sun [et al.] // Drones. — 2023. — Vol. 7, No. 6. — Art. 370.</w:t>
      </w:r>
    </w:p>
    <w:p>
      <w:pPr>
        <w:numPr>
          <w:ilvl w:val="0"/>
          <w:numId w:val="1014"/>
        </w:numPr>
        <w:jc w:val="both"/>
      </w:pPr>
      <w:r>
        <w:t xml:space="preserve">Петренко, В. И. Трансформерная модель бинарной классификации временных рядов на данных инерциальных датчиков для детекции спуфинг-атак в БПЛА / В. И. Петренко [и др.] // International Journal of Open Information Technologies. — 2026. — Т. 14, № 2. — С. 11–18.</w:t>
      </w:r>
    </w:p>
    <w:p>
      <w:pPr>
        <w:numPr>
          <w:ilvl w:val="0"/>
          <w:numId w:val="1014"/>
        </w:numPr>
        <w:jc w:val="both"/>
      </w:pPr>
      <w:r>
        <w:t xml:space="preserve">Du, F. Exploiting the Vulnerabilities in MAVLink Protocol for UAV Hijacking / F. Du [et al.] // Proc. 17th Int. Conf. on Security of Information and Networks (SIN 2024). — IEEE, 2024.</w:t>
      </w:r>
    </w:p>
    <w:p>
      <w:pPr>
        <w:numPr>
          <w:ilvl w:val="0"/>
          <w:numId w:val="1014"/>
        </w:numPr>
        <w:jc w:val="both"/>
      </w:pPr>
      <w:r>
        <w:t xml:space="preserve">Jeong, S. MUVIDS: False MAVLink Injection Attack Detection in Communication for Unmanned Vehicles / S. Jeong [et al.] // Proc. Third Int. Workshop on Automotive and Autonomous Vehicle Security (AutoSec 2021). — Internet Society, 2021.</w:t>
      </w:r>
    </w:p>
    <w:p>
      <w:pPr>
        <w:numPr>
          <w:ilvl w:val="0"/>
          <w:numId w:val="1014"/>
        </w:numPr>
        <w:jc w:val="both"/>
      </w:pPr>
      <w:r>
        <w:t xml:space="preserve">Тебуева, Ф. Б. Проблемно-ориентированная система мониторинга и реагирования на многовекторные атаки в децентрализованной среде интернета вещей / Ф. Б. Тебуева [и др.] // Вопросы кибербезопасности. — 2025. — № 6 (70). — С. 69–80.</w:t>
      </w:r>
    </w:p>
    <w:p>
      <w:pPr>
        <w:numPr>
          <w:ilvl w:val="0"/>
          <w:numId w:val="1014"/>
        </w:numPr>
        <w:jc w:val="both"/>
      </w:pPr>
      <w:r>
        <w:t xml:space="preserve">Fortune Business Insights. Agriculture Drone Market Size, Share, Global Forecast, 2032 [Электронный ресурс]. — URL: https://www.fortunebusinessinsights.com/agriculture-drones-market-102589 (дата обращения: 01.04.2026).</w:t>
      </w:r>
    </w:p>
    <w:p>
      <w:pPr>
        <w:numPr>
          <w:ilvl w:val="0"/>
          <w:numId w:val="1014"/>
        </w:numPr>
        <w:jc w:val="both"/>
      </w:pPr>
      <w:r>
        <w:t xml:space="preserve">Mekdad, Y. A Survey on Security and Privacy Issues of UAVs / Y. Mekdad [et al.] // Computer Networks. — Elsevier, 2023. — Vol. 224. — Art. 109626.</w:t>
      </w:r>
    </w:p>
    <w:p>
      <w:pPr>
        <w:numPr>
          <w:ilvl w:val="0"/>
          <w:numId w:val="1014"/>
        </w:numPr>
        <w:jc w:val="both"/>
      </w:pPr>
      <w:r>
        <w:t xml:space="preserve">Douzi, A. Cybersecurity and the Flight Safety of Unmanned Aerial Systems and Unmanned Aerial Vehicles / A. Douzi, R. Szabolcsi, J. Lukacs // Interdisciplinary Description of Complex Systems. — 2025. — Vol. 23, No. 2. — P. 95–104.</w:t>
      </w:r>
    </w:p>
    <w:p>
      <w:pPr>
        <w:numPr>
          <w:ilvl w:val="0"/>
          <w:numId w:val="1014"/>
        </w:numPr>
        <w:jc w:val="both"/>
      </w:pPr>
      <w:r>
        <w:t xml:space="preserve">Hakeem, A. Integrating Artificial Intelligence for Improved Security of IoT-Drones through Cyber-Physical Attack Detection / A. Hakeem [et al.] // Frontiers in Computer Science. — 2025. — Vol. 7. — Art. 1545282.</w:t>
      </w:r>
    </w:p>
    <w:p>
      <w:pPr>
        <w:numPr>
          <w:ilvl w:val="0"/>
          <w:numId w:val="1014"/>
        </w:numPr>
        <w:jc w:val="both"/>
      </w:pPr>
      <w:r>
        <w:t xml:space="preserve">Mordor Intelligence. Drone Software Market — Global Forecast to 2030 [Электронный ресурс]. — URL: https://www.mordorintelligence.com/industry-reports/drone-software-market (дата обращения: 01.04.2026).</w:t>
      </w:r>
    </w:p>
    <w:p>
      <w:pPr>
        <w:numPr>
          <w:ilvl w:val="0"/>
          <w:numId w:val="1014"/>
        </w:numPr>
        <w:jc w:val="both"/>
      </w:pPr>
      <w:r>
        <w:t xml:space="preserve">Методический документ. Методика оценки угроз безопасности информации : утверждена ФСТЭК России 05.02.2021 [Электронный ресурс]. — URL: https://www.consultant.ru/document/cons_doc_LAW_378330/ (дата обращения: 11.05.2026).</w:t>
      </w:r>
    </w:p>
    <w:p>
      <w:pPr>
        <w:numPr>
          <w:ilvl w:val="0"/>
          <w:numId w:val="1014"/>
        </w:numPr>
        <w:jc w:val="both"/>
      </w:pPr>
      <w:r>
        <w:t xml:space="preserve">Hassler, S. Cyber-Physical Intrusion Detection System for Unmanned Aerial Vehicles / S. Hassler, U. Mughal, M. Ismail // IEEE Transactions on Intelligent Transportation Systems. — 2024. — Vol. 25, No. 7.</w:t>
      </w:r>
    </w:p>
    <w:p>
      <w:pPr>
        <w:numPr>
          <w:ilvl w:val="0"/>
          <w:numId w:val="1014"/>
        </w:numPr>
        <w:jc w:val="both"/>
      </w:pPr>
      <w:r>
        <w:t xml:space="preserve">Shepard, D. P. Evaluation of Smart Grid and Civilian UAV Vulnerability to GPS Spoofing Attacks / D. P. Shepard, J. A. Bhatti, T. E. Humphreys // Proc. ION GNSS+ 2012 Conf. — Nashville : ION, 2012. — P. 3591–3605.</w:t>
      </w:r>
    </w:p>
    <w:p>
      <w:pPr>
        <w:numPr>
          <w:ilvl w:val="0"/>
          <w:numId w:val="1014"/>
        </w:numPr>
        <w:jc w:val="both"/>
      </w:pPr>
      <w:r>
        <w:t xml:space="preserve">Kaplan, E. D. Understanding GPS/GNSS: Principles and Applications / E. D. Kaplan, C. J. Hegarty. — 3rd ed. — Norwood : Artech House, 2017. — 1048 p. — ISBN 978-1-58053-958-7.</w:t>
      </w:r>
    </w:p>
    <w:p>
      <w:pPr>
        <w:numPr>
          <w:ilvl w:val="0"/>
          <w:numId w:val="1014"/>
        </w:numPr>
        <w:jc w:val="both"/>
      </w:pPr>
      <w:r>
        <w:t xml:space="preserve">Laporte, G. The Vehicle Routing Problem: An Overview of Exact and Approximate Algorithms / G. Laporte // European Journal of Operational Research. — 1992. — Vol. 59, No. 3. — P. 345–358.</w:t>
      </w:r>
    </w:p>
    <w:p>
      <w:pPr>
        <w:numPr>
          <w:ilvl w:val="0"/>
          <w:numId w:val="1014"/>
        </w:numPr>
        <w:jc w:val="both"/>
      </w:pPr>
      <w:r>
        <w:t xml:space="preserve">Toth, P. The Vehicle Routing Problem / P. Toth, D. Vigo (eds.). — Philadelphia : SIAM, 2002. — 385 p. — ISBN 0-89871-498-2.</w:t>
      </w:r>
    </w:p>
    <w:p>
      <w:pPr>
        <w:numPr>
          <w:ilvl w:val="0"/>
          <w:numId w:val="1014"/>
        </w:numPr>
        <w:jc w:val="both"/>
      </w:pPr>
      <w:r>
        <w:t xml:space="preserve">Aurenhammer, F. Voronoi Diagrams — A Survey of a Fundamental Geometric Data Structure / F. Aurenhammer // ACM Computing Surveys. — 1991. — Vol. 23, No. 3. — P. 345–405.</w:t>
      </w:r>
    </w:p>
    <w:p>
      <w:pPr>
        <w:numPr>
          <w:ilvl w:val="0"/>
          <w:numId w:val="1014"/>
        </w:numPr>
        <w:jc w:val="both"/>
      </w:pPr>
      <w:r>
        <w:t xml:space="preserve">Galceran, E. A Survey on Coverage Path Planning for Robotics / E. Galceran, M. Carreras // Robotics and Autonomous Systems. — 2013. — Vol. 61, No. 12. — P. 1258–1276.</w:t>
      </w:r>
    </w:p>
    <w:p>
      <w:pPr>
        <w:numPr>
          <w:ilvl w:val="0"/>
          <w:numId w:val="1014"/>
        </w:numPr>
        <w:jc w:val="both"/>
      </w:pPr>
      <w:r>
        <w:t xml:space="preserve">MAVLink Developer Guide [Электронный ресурс]. — MAVLink Micro Air Vehicle Communication Protocol. — URL: https://mavlink.io/en/ (дата обращения: 10.04.2026).</w:t>
      </w:r>
    </w:p>
    <w:p>
      <w:pPr>
        <w:numPr>
          <w:ilvl w:val="0"/>
          <w:numId w:val="1014"/>
        </w:numPr>
        <w:jc w:val="both"/>
      </w:pPr>
      <w:r>
        <w:t xml:space="preserve">Google OR-Tools. Vehicle Routing Problem [Электронный ресурс]. — Google Developers. — URL: https://developers.google.com/optimization/routing (дата обращения: 10.04.2026).</w:t>
      </w:r>
    </w:p>
    <w:p>
      <w:pPr>
        <w:numPr>
          <w:ilvl w:val="0"/>
          <w:numId w:val="1014"/>
        </w:numPr>
        <w:jc w:val="both"/>
      </w:pPr>
      <w:r>
        <w:t xml:space="preserve">Christofides, N. Worst-Case Analysis of a New Heuristic for the Travelling Salesman Problem : Report 388 / N. Christofides. — Pittsburgh : Carnegie Mellon University, 1976. — 14 p.</w:t>
      </w:r>
    </w:p>
    <w:p>
      <w:pPr>
        <w:numPr>
          <w:ilvl w:val="0"/>
          <w:numId w:val="1014"/>
        </w:numPr>
        <w:jc w:val="both"/>
      </w:pPr>
      <w:r>
        <w:t xml:space="preserve">PostGIS Reference Manual, v3.3 [Электронный ресурс]. — URL: https://postgis.net/docs/manual-3.3/ (дата обращения: 10.04.2026).</w:t>
      </w:r>
    </w:p>
    <w:p>
      <w:pPr>
        <w:numPr>
          <w:ilvl w:val="0"/>
          <w:numId w:val="1014"/>
        </w:numPr>
        <w:jc w:val="both"/>
      </w:pPr>
      <w:r>
        <w:t xml:space="preserve">ГОСТ Р 56939-2016. Защита информации. Разработка безопасного программного обеспечения. Общие требования. — Москва : Стандартинформ, 2017. — 12 с.</w:t>
      </w:r>
    </w:p>
    <w:p>
      <w:pPr>
        <w:numPr>
          <w:ilvl w:val="0"/>
          <w:numId w:val="1014"/>
        </w:numPr>
        <w:jc w:val="both"/>
      </w:pPr>
      <w:r>
        <w:t xml:space="preserve">ArduPilot Copter Documentation [Электронный ресурс]. — URL: https://ardupilot.org/copter/ (дата обращения: 10.04.2026).</w:t>
      </w:r>
    </w:p>
    <w:p>
      <w:pPr>
        <w:numPr>
          <w:ilvl w:val="0"/>
          <w:numId w:val="1014"/>
        </w:numPr>
        <w:jc w:val="both"/>
      </w:pPr>
      <w:r>
        <w:t xml:space="preserve">Указ Президента Российской Федерации от 30.03.2022 № 166 «О мерах по обеспечению технологической независимости и безопасности критической информационной инфраструктуры Российской Федерации» // Официальное опубликование правовых актов. — URL: http://publication.pravo.gov.ru/Document/View/0001202203300001 (дата обращения: 11.05.2026).</w:t>
      </w:r>
    </w:p>
    <w:p>
      <w:pPr>
        <w:numPr>
          <w:ilvl w:val="0"/>
          <w:numId w:val="1014"/>
        </w:numPr>
        <w:jc w:val="both"/>
      </w:pPr>
      <w:r>
        <w:t xml:space="preserve">Dijkstra, E. W. A Note on Two Problems in Connexion with Graphs / E. W. Dijkstra // Numerische Mathematik. — 1959. — Vol. 1, No. 1. — P. 269–271.</w:t>
      </w:r>
    </w:p>
    <w:p>
      <w:pPr>
        <w:numPr>
          <w:ilvl w:val="0"/>
          <w:numId w:val="1014"/>
        </w:numPr>
        <w:jc w:val="both"/>
      </w:pPr>
      <w:r>
        <w:t xml:space="preserve">Lloyd, S. P. Least Squares Quantization in PCM / S. P. Lloyd // IEEE Transactions on Information Theory. — 1982. — Vol. 28, No. 2. — P. 129–137.</w:t>
      </w:r>
    </w:p>
    <w:p>
      <w:pPr>
        <w:numPr>
          <w:ilvl w:val="0"/>
          <w:numId w:val="1014"/>
        </w:numPr>
        <w:jc w:val="both"/>
      </w:pPr>
      <w:r>
        <w:t xml:space="preserve">Rejeb, A. Drones in Agriculture: A Review and Bibliometric Analysis / A. Rejeb, A. Abdollahi, K. Rejeb, H. Treiblmaier // Computers and Electronics in Agriculture. — 2022. — Vol. 198. — Art. 107017. — DOI: 10.1016/j.compag.2022.107017.</w:t>
      </w:r>
    </w:p>
    <w:p>
      <w:pPr>
        <w:numPr>
          <w:ilvl w:val="0"/>
          <w:numId w:val="1014"/>
        </w:numPr>
        <w:jc w:val="both"/>
      </w:pPr>
      <w:r>
        <w:t xml:space="preserve">Tlili, F. Advancing UAV Security with Artificial Intelligence: A Comprehensive Survey of Techniques and Future Directions / F. Tlili, S. Ayed, L. Chaari Fourati // Internet of Things. — 2024. — Vol. 27. — Art. 101281. — DOI: 10.1016/j.iot.2024.101281.</w:t>
      </w:r>
    </w:p>
    <w:p>
      <w:pPr>
        <w:numPr>
          <w:ilvl w:val="0"/>
          <w:numId w:val="1014"/>
        </w:numPr>
        <w:jc w:val="both"/>
      </w:pPr>
      <w:r>
        <w:t xml:space="preserve">Guebsi, R. Drones in Precision Agriculture: A Comprehensive Review of Applications, Technologies, and Challenges / R. Guebsi, K. Mami, K. Chokmani // Drones. — 2024. — Vol. 8, No. 11. — Art. 686. — DOI: 10.3390/drones8110686.</w:t>
      </w:r>
    </w:p>
    <w:p>
      <w:pPr>
        <w:numPr>
          <w:ilvl w:val="0"/>
          <w:numId w:val="1014"/>
        </w:numPr>
        <w:jc w:val="both"/>
      </w:pPr>
      <w:r>
        <w:t xml:space="preserve">Li, J. Coverage Path Planning Method for Agricultural Spraying UAV in Arbitrary Polygon Area / J. Li, H. Sheng, J. Zhang, H. Zhang // Aerospace. — 2023. — Vol. 10, No. 9. — Art. 755. — DOI: 10.3390/aerospace10090755.</w:t>
      </w:r>
    </w:p>
    <w:p>
      <w:pPr>
        <w:numPr>
          <w:ilvl w:val="0"/>
          <w:numId w:val="1014"/>
        </w:numPr>
        <w:jc w:val="both"/>
      </w:pPr>
      <w:r>
        <w:t xml:space="preserve">Hagberg, A. A. Exploring Network Structure, Dynamics, and Function Using NetworkX / A. A. Hagberg, D. A. Schult, P. J. Swart // Proceedings of the 7th Python in Science Conference (SciPy 2008). — Pasadena, CA, 2008. — P. 11–15.</w:t>
      </w:r>
    </w:p>
    <w:p>
      <w:pPr>
        <w:numPr>
          <w:ilvl w:val="0"/>
          <w:numId w:val="1014"/>
        </w:numPr>
        <w:jc w:val="both"/>
      </w:pPr>
      <w:r>
        <w:t xml:space="preserve">Phang, S. K. From Satellite to UAV-Based Remote Sensing: A Review on Precision Agriculture / S. K. Phang, T. H. A. Chiang, A. Happonen, M. M. L. Chang // IEEE Access. — 2023. — Vol. 11. — P. 127057–127076. — DOI: 10.1109/ACCESS.2023.3330886.</w:t>
      </w:r>
    </w:p>
    <w:p>
      <w:pPr>
        <w:numPr>
          <w:ilvl w:val="0"/>
          <w:numId w:val="1014"/>
        </w:numPr>
        <w:jc w:val="both"/>
      </w:pPr>
      <w:r>
        <w:t xml:space="preserve">OWASP Foundation. OWASP Top 10 — 2021. The Ten Most Critical Web Application Security Risks [Электронный ресурс]. — URL: https://owasp.org/Top10/ (дата обращения: 15.04.2026).</w:t>
      </w:r>
    </w:p>
    <w:p>
      <w:pPr>
        <w:pStyle w:val="FirstParagraph"/>
      </w:pPr>
      <w:r>
        <w:rPr>
          <w:iCs/>
          <w:i/>
        </w:rPr>
        <w:t xml:space="preserve">Версия 1.0 · SafeAgriRoute · Сутормин М.П. · Ставрополь, 2026</w:t>
      </w:r>
    </w:p>
    <w:bookmarkEnd w:id="94"/>
    <w:sectPr w:rsidR="00B63448" w:rsidSect="00B63448">
      <w:headerReference ns1:id="rId9" w:type="even"/>
      <w:headerReference ns1:id="rId10" w:type="default"/>
      <w:footerReference ns1:id="rId11" w:type="default"/>
      <w:pgSz w:code="9" w:h="16834" w:w="11909"/>
      <w:pgMar w:bottom="1134" w:footer="720" w:gutter="0" w:header="720" w:left="1701" w:right="567" w:top="1134"/>
      <w:pgNumType w:start="0"/>
      <w:cols w:space="720"/>
      <w:noEndnote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4008800"/>
      <w:docPartObj>
        <w:docPartGallery w:val="Page Numbers (Bottom of Page)"/>
        <w:docPartUnique/>
      </w:docPartObj>
    </w:sdtPr>
    <w:sdtEndPr/>
    <w:sdtContent>
      <w:p w14:paraId="13073FC5" w14:textId="0C309F97" w:rsidR="00B63448" w:rsidRDefault="00B6344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46E09CC" w14:textId="77777777" w:rsidR="00B63448" w:rsidRDefault="00B63448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5590178"/>
      <w:docPartObj>
        <w:docPartGallery w:val="Page Numbers (Bottom of Page)"/>
        <w:docPartUnique/>
      </w:docPartObj>
    </w:sdtPr>
    <w:sdtEndPr/>
    <w:sdtContent>
      <w:p w14:paraId="4E4853DF" w14:textId="77777777" w:rsidR="00B63448" w:rsidRDefault="00B6344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7C671B2" w14:textId="77777777" w:rsidR="00B63448" w:rsidRDefault="00B63448">
    <w:pPr>
      <w:pStyle w:val="af1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09109" w14:textId="77777777" w:rsidR="000135AE" w:rsidRDefault="000135AE">
    <w:pPr>
      <w:pStyle w:val="ab"/>
      <w:framePr w:wrap="around" w:vAnchor="text" w:hAnchor="margin" w:xAlign="right" w:y="1"/>
      <w:rPr>
        <w:rStyle w:val="ad"/>
        <w:rFonts w:eastAsiaTheme="majorEastAsia"/>
      </w:rPr>
    </w:pPr>
    <w:r>
      <w:rPr>
        <w:rStyle w:val="ad"/>
        <w:rFonts w:eastAsiaTheme="majorEastAsia"/>
      </w:rPr>
      <w:fldChar w:fldCharType="begin"/>
    </w:r>
    <w:r>
      <w:rPr>
        <w:rStyle w:val="ad"/>
        <w:rFonts w:eastAsiaTheme="majorEastAsia"/>
      </w:rPr>
      <w:instrText xml:space="preserve">PAGE  </w:instrText>
    </w:r>
    <w:r>
      <w:rPr>
        <w:rStyle w:val="ad"/>
        <w:rFonts w:eastAsiaTheme="majorEastAsia"/>
      </w:rPr>
      <w:fldChar w:fldCharType="end"/>
    </w:r>
  </w:p>
  <w:p w14:paraId="2B58C656" w14:textId="77777777" w:rsidR="000135AE" w:rsidRDefault="000135AE">
    <w:pPr>
      <w:pStyle w:val="ab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6E479" w14:textId="77777777" w:rsidR="000135AE" w:rsidRDefault="000135AE" w:rsidP="00E61CA4">
    <w:pPr>
      <w:pStyle w:val="ab"/>
    </w:pPr>
  </w:p>
  <w:p w14:paraId="3687B665" w14:textId="77777777" w:rsidR="000135AE" w:rsidRDefault="000135AE">
    <w:pPr>
      <w:pStyle w:val="ab"/>
      <w:ind w:right="360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D77E55"/>
    <w:multiLevelType w:val="hybridMultilevel"/>
    <w:tmpl w:val="B61E4352"/>
    <w:lvl w:ilvl="0" w:tplc="0F548926">
      <w:start w:val="1"/>
      <w:numFmt w:val="bullet"/>
      <w:lvlText w:val="–"/>
      <w:lvlJc w:val="left"/>
      <w:pPr>
        <w:ind w:hanging="360" w:left="1440"/>
      </w:pPr>
      <w:rPr>
        <w:rFonts w:ascii="Times New Roman" w:cs="Times New Roman" w:eastAsia="Times New Roman" w:hAnsi="Times New Roman"/>
        <w:sz w:val="24"/>
        <w:szCs w:val="24"/>
      </w:rPr>
    </w:lvl>
    <w:lvl w:ilvl="1" w:tplc="0C4E610A">
      <w:numFmt w:val="decimal"/>
      <w:lvlText w:val=""/>
      <w:lvlJc w:val="left"/>
    </w:lvl>
    <w:lvl w:ilvl="2" w:tplc="1300632A">
      <w:numFmt w:val="decimal"/>
      <w:lvlText w:val=""/>
      <w:lvlJc w:val="left"/>
    </w:lvl>
    <w:lvl w:ilvl="3" w:tplc="C8FC1A54">
      <w:numFmt w:val="decimal"/>
      <w:lvlText w:val=""/>
      <w:lvlJc w:val="left"/>
    </w:lvl>
    <w:lvl w:ilvl="4" w:tplc="784207BC">
      <w:numFmt w:val="decimal"/>
      <w:lvlText w:val=""/>
      <w:lvlJc w:val="left"/>
    </w:lvl>
    <w:lvl w:ilvl="5" w:tplc="FA3EC68E">
      <w:numFmt w:val="decimal"/>
      <w:lvlText w:val=""/>
      <w:lvlJc w:val="left"/>
    </w:lvl>
    <w:lvl w:ilvl="6" w:tplc="BF9434AE">
      <w:numFmt w:val="decimal"/>
      <w:lvlText w:val=""/>
      <w:lvlJc w:val="left"/>
    </w:lvl>
    <w:lvl w:ilvl="7" w:tplc="5F8CEED8">
      <w:numFmt w:val="decimal"/>
      <w:lvlText w:val=""/>
      <w:lvlJc w:val="left"/>
    </w:lvl>
    <w:lvl w:ilvl="8" w:tplc="61E60CEC">
      <w:numFmt w:val="decimal"/>
      <w:lvlText w:val=""/>
      <w:lvlJc w:val="left"/>
    </w:lvl>
  </w:abstractNum>
  <w:abstractNum w15:restartNumberingAfterBreak="0" w:abstractNumId="1">
    <w:nsid w:val="1F0B2A91"/>
    <w:multiLevelType w:val="hybridMultilevel"/>
    <w:tmpl w:val="615C856C"/>
    <w:lvl w:ilvl="0" w:tplc="24CAE514">
      <w:start w:val="1"/>
      <w:numFmt w:val="bullet"/>
      <w:lvlText w:val="●"/>
      <w:lvlJc w:val="left"/>
      <w:pPr>
        <w:ind w:hanging="360" w:left="720"/>
      </w:pPr>
    </w:lvl>
    <w:lvl w:ilvl="1" w:tplc="D4E02190">
      <w:start w:val="1"/>
      <w:numFmt w:val="bullet"/>
      <w:lvlText w:val="○"/>
      <w:lvlJc w:val="left"/>
      <w:pPr>
        <w:ind w:hanging="360" w:left="1440"/>
      </w:pPr>
    </w:lvl>
    <w:lvl w:ilvl="2" w:tplc="1BA8569A">
      <w:start w:val="1"/>
      <w:numFmt w:val="bullet"/>
      <w:lvlText w:val="■"/>
      <w:lvlJc w:val="left"/>
      <w:pPr>
        <w:ind w:hanging="360" w:left="2160"/>
      </w:pPr>
    </w:lvl>
    <w:lvl w:ilvl="3" w:tplc="AF2A63E4">
      <w:start w:val="1"/>
      <w:numFmt w:val="bullet"/>
      <w:lvlText w:val="●"/>
      <w:lvlJc w:val="left"/>
      <w:pPr>
        <w:ind w:hanging="360" w:left="2880"/>
      </w:pPr>
    </w:lvl>
    <w:lvl w:ilvl="4" w:tplc="890ABDEA">
      <w:start w:val="1"/>
      <w:numFmt w:val="bullet"/>
      <w:lvlText w:val="○"/>
      <w:lvlJc w:val="left"/>
      <w:pPr>
        <w:ind w:hanging="360" w:left="3600"/>
      </w:pPr>
    </w:lvl>
    <w:lvl w:ilvl="5" w:tplc="460804C0">
      <w:start w:val="1"/>
      <w:numFmt w:val="bullet"/>
      <w:lvlText w:val="■"/>
      <w:lvlJc w:val="left"/>
      <w:pPr>
        <w:ind w:hanging="360" w:left="4320"/>
      </w:pPr>
    </w:lvl>
    <w:lvl w:ilvl="6" w:tplc="935215DE">
      <w:start w:val="1"/>
      <w:numFmt w:val="bullet"/>
      <w:lvlText w:val="●"/>
      <w:lvlJc w:val="left"/>
      <w:pPr>
        <w:ind w:hanging="360" w:left="5040"/>
      </w:pPr>
    </w:lvl>
    <w:lvl w:ilvl="7" w:tplc="4E903F16">
      <w:start w:val="1"/>
      <w:numFmt w:val="bullet"/>
      <w:lvlText w:val="●"/>
      <w:lvlJc w:val="left"/>
      <w:pPr>
        <w:ind w:hanging="360" w:left="5760"/>
      </w:pPr>
    </w:lvl>
    <w:lvl w:ilvl="8" w:tplc="8F3A4FBA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0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CB5818"/>
    <w:pPr>
      <w:spacing w:line="360" w:lineRule="auto"/>
    </w:pPr>
    <w:rPr>
      <w:sz w:val="28"/>
    </w:rPr>
  </w:style>
  <w:style w:styleId="1" w:type="paragraph">
    <w:name w:val="heading 1"/>
    <w:link w:val="10"/>
    <w:uiPriority w:val="9"/>
    <w:qFormat/>
    <w:rsid w:val="00873AFA"/>
    <w:pPr>
      <w:pageBreakBefore/>
      <w:spacing w:after="240" w:line="360" w:lineRule="auto"/>
      <w:ind w:firstLine="709"/>
      <w:jc w:val="both"/>
      <w:outlineLvl w:val="0"/>
    </w:pPr>
    <w:rPr>
      <w:b/>
      <w:bCs/>
      <w:color w:val="000000"/>
      <w:sz w:val="28"/>
      <w:szCs w:val="28"/>
    </w:rPr>
  </w:style>
  <w:style w:styleId="2" w:type="paragraph">
    <w:name w:val="heading 2"/>
    <w:link w:val="20"/>
    <w:uiPriority w:val="9"/>
    <w:unhideWhenUsed/>
    <w:qFormat/>
    <w:rsid w:val="001A5CFB"/>
    <w:pPr>
      <w:spacing w:after="240" w:before="240" w:line="360" w:lineRule="auto"/>
      <w:ind w:firstLine="709"/>
      <w:outlineLvl w:val="1"/>
    </w:pPr>
    <w:rPr>
      <w:b/>
      <w:bCs/>
      <w:color w:val="000000"/>
      <w:sz w:val="28"/>
      <w:szCs w:val="26"/>
    </w:rPr>
  </w:style>
  <w:style w:styleId="3" w:type="paragraph">
    <w:name w:val="heading 3"/>
    <w:link w:val="30"/>
    <w:uiPriority w:val="9"/>
    <w:unhideWhenUsed/>
    <w:qFormat/>
    <w:rsid w:val="00FC0393"/>
    <w:pPr>
      <w:spacing w:after="120" w:before="120" w:line="360" w:lineRule="auto"/>
      <w:ind w:firstLine="709"/>
      <w:outlineLvl w:val="2"/>
    </w:pPr>
    <w:rPr>
      <w:b/>
      <w:bCs/>
      <w:color w:val="000000"/>
      <w:sz w:val="28"/>
    </w:rPr>
  </w:style>
  <w:style w:styleId="4" w:type="paragraph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styleId="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styleId="8" w:type="paragraph">
    <w:name w:val="heading 8"/>
    <w:basedOn w:val="a"/>
    <w:next w:val="a"/>
    <w:link w:val="80"/>
    <w:unhideWhenUsed/>
    <w:qFormat/>
    <w:rsid w:val="000135AE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styleId="a3" w:type="paragraph">
    <w:name w:val="Title"/>
    <w:uiPriority w:val="10"/>
    <w:qFormat/>
    <w:rPr>
      <w:sz w:val="56"/>
      <w:szCs w:val="56"/>
    </w:rPr>
  </w:style>
  <w:style w:customStyle="1" w:styleId="11" w:type="paragraph">
    <w:name w:val="Строгий1"/>
    <w:qFormat/>
    <w:rPr>
      <w:b/>
      <w:bCs/>
    </w:rPr>
  </w:style>
  <w:style w:styleId="a4" w:type="paragraph">
    <w:name w:val="List Paragraph"/>
    <w:qFormat/>
    <w:rsid w:val="001E1539"/>
    <w:pPr>
      <w:spacing w:line="360" w:lineRule="auto"/>
    </w:pPr>
    <w:rPr>
      <w:sz w:val="28"/>
    </w:rPr>
  </w:style>
  <w:style w:styleId="a5" w:type="character">
    <w:name w:val="Hyperlink"/>
    <w:uiPriority w:val="99"/>
    <w:unhideWhenUsed/>
    <w:rPr>
      <w:color w:val="0563C1"/>
      <w:u w:val="single"/>
    </w:rPr>
  </w:style>
  <w:style w:styleId="a6" w:type="character">
    <w:name w:val="footnote reference"/>
    <w:uiPriority w:val="99"/>
    <w:semiHidden/>
    <w:unhideWhenUsed/>
    <w:rPr>
      <w:vertAlign w:val="superscript"/>
    </w:rPr>
  </w:style>
  <w:style w:styleId="a7" w:type="paragraph">
    <w:name w:val="footnote text"/>
    <w:link w:val="a8"/>
    <w:uiPriority w:val="99"/>
    <w:semiHidden/>
    <w:unhideWhenUsed/>
    <w:rPr>
      <w:sz w:val="20"/>
      <w:szCs w:val="20"/>
    </w:rPr>
  </w:style>
  <w:style w:customStyle="1" w:styleId="a8" w:type="character">
    <w:name w:val="Текст сноски Знак"/>
    <w:link w:val="a7"/>
    <w:uiPriority w:val="99"/>
    <w:semiHidden/>
    <w:unhideWhenUsed/>
    <w:rPr>
      <w:sz w:val="20"/>
      <w:szCs w:val="20"/>
    </w:rPr>
  </w:style>
  <w:style w:styleId="a9" w:type="paragraph">
    <w:name w:val="TOC Heading"/>
    <w:basedOn w:val="1"/>
    <w:next w:val="a"/>
    <w:uiPriority w:val="39"/>
    <w:unhideWhenUsed/>
    <w:qFormat/>
    <w:rsid w:val="00A40056"/>
    <w:pPr>
      <w:keepNext/>
      <w:keepLines/>
      <w:spacing w:after="0"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12" w:type="paragraph">
    <w:name w:val="toc 1"/>
    <w:basedOn w:val="a"/>
    <w:next w:val="a"/>
    <w:autoRedefine/>
    <w:uiPriority w:val="39"/>
    <w:unhideWhenUsed/>
    <w:rsid w:val="00904D1C"/>
  </w:style>
  <w:style w:styleId="21" w:type="paragraph">
    <w:name w:val="toc 2"/>
    <w:basedOn w:val="a"/>
    <w:next w:val="a"/>
    <w:autoRedefine/>
    <w:uiPriority w:val="39"/>
    <w:unhideWhenUsed/>
    <w:rsid w:val="000E7C09"/>
    <w:pPr>
      <w:tabs>
        <w:tab w:leader="dot" w:pos="9344" w:val="right"/>
      </w:tabs>
      <w:ind w:left="227"/>
    </w:pPr>
  </w:style>
  <w:style w:styleId="31" w:type="paragraph">
    <w:name w:val="toc 3"/>
    <w:basedOn w:val="a"/>
    <w:next w:val="a"/>
    <w:autoRedefine/>
    <w:uiPriority w:val="39"/>
    <w:unhideWhenUsed/>
    <w:rsid w:val="000E7C09"/>
    <w:pPr>
      <w:tabs>
        <w:tab w:leader="dot" w:pos="9344" w:val="right"/>
      </w:tabs>
      <w:ind w:left="454"/>
    </w:pPr>
  </w:style>
  <w:style w:styleId="aa" w:type="character">
    <w:name w:val="Placeholder Text"/>
    <w:basedOn w:val="a0"/>
    <w:uiPriority w:val="99"/>
    <w:semiHidden/>
    <w:rsid w:val="001E1539"/>
    <w:rPr>
      <w:color w:val="808080"/>
    </w:rPr>
  </w:style>
  <w:style w:customStyle="1" w:styleId="10" w:type="character">
    <w:name w:val="Заголовок 1 Знак"/>
    <w:basedOn w:val="a0"/>
    <w:link w:val="1"/>
    <w:uiPriority w:val="9"/>
    <w:rsid w:val="00873AFA"/>
    <w:rPr>
      <w:b/>
      <w:bCs/>
      <w:color w:val="000000"/>
      <w:sz w:val="28"/>
      <w:szCs w:val="28"/>
    </w:rPr>
  </w:style>
  <w:style w:customStyle="1" w:styleId="20" w:type="character">
    <w:name w:val="Заголовок 2 Знак"/>
    <w:basedOn w:val="a0"/>
    <w:link w:val="2"/>
    <w:uiPriority w:val="9"/>
    <w:rsid w:val="001A5CFB"/>
    <w:rPr>
      <w:b/>
      <w:bCs/>
      <w:color w:val="000000"/>
      <w:sz w:val="28"/>
      <w:szCs w:val="26"/>
    </w:rPr>
  </w:style>
  <w:style w:customStyle="1" w:styleId="30" w:type="character">
    <w:name w:val="Заголовок 3 Знак"/>
    <w:basedOn w:val="a0"/>
    <w:link w:val="3"/>
    <w:uiPriority w:val="9"/>
    <w:rsid w:val="00FC0393"/>
    <w:rPr>
      <w:b/>
      <w:bCs/>
      <w:color w:val="000000"/>
      <w:sz w:val="28"/>
    </w:rPr>
  </w:style>
  <w:style w:customStyle="1" w:styleId="80" w:type="character">
    <w:name w:val="Заголовок 8 Знак"/>
    <w:basedOn w:val="a0"/>
    <w:link w:val="8"/>
    <w:rsid w:val="000135AE"/>
    <w:rPr>
      <w:rFonts w:asciiTheme="majorHAnsi" w:cstheme="majorBidi" w:eastAsiaTheme="majorEastAsia" w:hAnsiTheme="majorHAnsi"/>
      <w:color w:themeColor="text1" w:themeTint="D8" w:val="272727"/>
      <w:sz w:val="21"/>
      <w:szCs w:val="21"/>
    </w:rPr>
  </w:style>
  <w:style w:styleId="ab" w:type="paragraph">
    <w:name w:val="header"/>
    <w:basedOn w:val="a"/>
    <w:link w:val="ac"/>
    <w:uiPriority w:val="99"/>
    <w:rsid w:val="000135AE"/>
    <w:pPr>
      <w:tabs>
        <w:tab w:pos="4677" w:val="center"/>
        <w:tab w:pos="9355" w:val="right"/>
      </w:tabs>
      <w:spacing w:line="240" w:lineRule="auto"/>
    </w:pPr>
    <w:rPr>
      <w:sz w:val="24"/>
      <w:lang w:eastAsia="ru-RU" w:val="ru-RU"/>
    </w:rPr>
  </w:style>
  <w:style w:customStyle="1" w:styleId="ac" w:type="character">
    <w:name w:val="Верхний колонтитул Знак"/>
    <w:basedOn w:val="a0"/>
    <w:link w:val="ab"/>
    <w:uiPriority w:val="99"/>
    <w:rsid w:val="000135AE"/>
    <w:rPr>
      <w:lang w:eastAsia="ru-RU" w:val="ru-RU"/>
    </w:rPr>
  </w:style>
  <w:style w:styleId="ad" w:type="character">
    <w:name w:val="page number"/>
    <w:basedOn w:val="a0"/>
    <w:rsid w:val="000135AE"/>
  </w:style>
  <w:style w:styleId="ae" w:type="character">
    <w:name w:val="Strong"/>
    <w:basedOn w:val="a0"/>
    <w:uiPriority w:val="22"/>
    <w:qFormat/>
    <w:rsid w:val="002B0B67"/>
    <w:rPr>
      <w:b/>
      <w:bCs/>
    </w:rPr>
  </w:style>
  <w:style w:styleId="af" w:type="table">
    <w:name w:val="Table Grid"/>
    <w:basedOn w:val="a1"/>
    <w:uiPriority w:val="39"/>
    <w:rsid w:val="002B0B6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0" w:type="paragraph">
    <w:name w:val="Normal (Web)"/>
    <w:basedOn w:val="a"/>
    <w:uiPriority w:val="99"/>
    <w:unhideWhenUsed/>
    <w:rsid w:val="00453FF7"/>
    <w:pPr>
      <w:spacing w:after="100" w:afterAutospacing="1" w:before="100" w:beforeAutospacing="1" w:line="240" w:lineRule="auto"/>
    </w:pPr>
    <w:rPr>
      <w:sz w:val="24"/>
    </w:rPr>
  </w:style>
  <w:style w:styleId="af1" w:type="paragraph">
    <w:name w:val="footer"/>
    <w:basedOn w:val="a"/>
    <w:link w:val="af2"/>
    <w:uiPriority w:val="99"/>
    <w:unhideWhenUsed/>
    <w:rsid w:val="00B63448"/>
    <w:pPr>
      <w:tabs>
        <w:tab w:pos="4844" w:val="center"/>
        <w:tab w:pos="9689" w:val="right"/>
      </w:tabs>
      <w:spacing w:line="240" w:lineRule="auto"/>
    </w:pPr>
  </w:style>
  <w:style w:customStyle="1" w:styleId="af2" w:type="character">
    <w:name w:val="Нижний колонтитул Знак"/>
    <w:basedOn w:val="a0"/>
    <w:link w:val="af1"/>
    <w:uiPriority w:val="99"/>
    <w:rsid w:val="00B63448"/>
    <w:rPr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color="auto" w:fill="F2F2F2"/>
      <w:ind w:left="360" w:right="180"/>
    </w:pPr>
    <w:rPr>
      <w:rFonts w:ascii="DejaVu Sans Mono" w:hAnsi="DejaVu Sans Mono" w:cs="DejaVu Sans Mono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0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49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24298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202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115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4684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84671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0189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991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29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364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515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7582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21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539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9665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0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7200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30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777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736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7196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085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241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21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8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7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4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12885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471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6023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957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436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259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241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019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11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627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92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6994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084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168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6870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535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43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68672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9699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1003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662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32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4873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8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494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72269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5541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4154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158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96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12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2100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3645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0917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117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4751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29618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6540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1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86" Target="media/rId86.png" /><Relationship Type="http://schemas.openxmlformats.org/officeDocument/2006/relationships/image" Id="rId79" Target="media/rId79.png" /><Relationship Type="http://schemas.openxmlformats.org/officeDocument/2006/relationships/hyperlink" Id="rId33" Target="https://github.com/matveisut/safe-agri-route" TargetMode="External" /><Relationship Type="http://schemas.openxmlformats.org/officeDocument/2006/relationships/hyperlink" Id="rId23" Target="knowledge/" TargetMode="External" /><Relationship Type="http://schemas.openxmlformats.org/officeDocument/2006/relationships/hyperlink" Id="rId20" Target="roadmap_task.md" TargetMode="External" /><Relationship Type="http://schemas.openxmlformats.org/officeDocument/2006/relationships/hyperlink" Id="rId22" Target="&#1055;&#1088;&#1086;&#1084;&#1087;&#1090;&#1099;.md" TargetMode="External" /><Relationship Type="http://schemas.openxmlformats.org/officeDocument/2006/relationships/hyperlink" Id="rId21" Target="&#1058;&#1047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matveisut/safe-agri-route" TargetMode="External" /><Relationship Type="http://schemas.openxmlformats.org/officeDocument/2006/relationships/hyperlink" Id="rId23" Target="knowledge/" TargetMode="External" /><Relationship Type="http://schemas.openxmlformats.org/officeDocument/2006/relationships/hyperlink" Id="rId20" Target="roadmap_task.md" TargetMode="External" /><Relationship Type="http://schemas.openxmlformats.org/officeDocument/2006/relationships/hyperlink" Id="rId22" Target="&#1055;&#1088;&#1086;&#1084;&#1087;&#1090;&#1099;.md" TargetMode="External" /><Relationship Type="http://schemas.openxmlformats.org/officeDocument/2006/relationships/hyperlink" Id="rId21" Target="&#1058;&#1047;.md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35</Pages>
  <Words>7587</Words>
  <Characters>43251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2026-05-11T18:01:19Z</dcterms:created>
  <dcterms:modified xsi:type="dcterms:W3CDTF">2026-05-11T18:01:19Z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