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  <w:r>
        <w:rPr>
          <w:b/>
          <w:color w:val="785641"/>
          <w:sz w:val="18"/>
        </w:rPr>
        <w:t>BRAND STRATEGY  /  v2</w:t>
      </w:r>
    </w:p>
    <w:p>
      <w:pPr>
        <w:pStyle w:val="Title"/>
      </w:pPr>
      <w:r>
        <w:t>Gluten-Free Baking</w:t>
      </w:r>
    </w:p>
    <w:p>
      <w:pPr>
        <w:pStyle w:val="Deck"/>
      </w:pPr>
      <w:r>
        <w:t>Strategic territory for a modern multilingual gluten-free baking product</w:t>
      </w:r>
    </w:p>
    <w:p>
      <w:pPr>
        <w:spacing w:before="40" w:after="160"/>
        <w:pBdr>
          <w:bottom w:val="single" w:sz="8" w:space="1" w:color="D8D4CE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1ED"/>
            <w:tcMar>
              <w:top w:w="220" w:type="dxa"/>
              <w:start w:w="250" w:type="dxa"/>
              <w:bottom w:w="220" w:type="dxa"/>
              <w:end w:w="250" w:type="dxa"/>
            </w:tcMar>
          </w:tcPr>
          <w:p>
            <w:pPr>
              <w:pStyle w:val="Quote"/>
              <w:jc w:val="left"/>
            </w:pPr>
            <w:r>
              <w:t>“Я не хочу експериментувати. Я хочу, щоб у мене вийшло.”</w:t>
            </w:r>
          </w:p>
          <w:p>
            <w:pPr>
              <w:spacing w:before="100" w:after="0"/>
            </w:pPr>
            <w:r>
              <w:rPr>
                <w:b/>
                <w:color w:val="785641"/>
              </w:rPr>
              <w:t>Core user insight</w:t>
            </w:r>
          </w:p>
        </w:tc>
      </w:tr>
    </w:tbl>
    <w:p>
      <w:pPr>
        <w:spacing w:before="400" w:after="100"/>
      </w:pPr>
      <w:r>
        <w:rPr>
          <w:b/>
          <w:color w:val="785641"/>
          <w:sz w:val="17"/>
        </w:rPr>
        <w:t>BRAND PROMISE</w:t>
      </w:r>
    </w:p>
    <w:p>
      <w:pPr>
        <w:pStyle w:val="Quote"/>
        <w:ind w:left="0"/>
      </w:pPr>
      <w:r>
        <w:t>Bake what you love. Know what works.</w:t>
      </w:r>
    </w:p>
    <w:p>
      <w:pPr>
        <w:pStyle w:val="Deck"/>
      </w:pPr>
      <w:r>
        <w:t>Fewer recipes. More confidence.</w:t>
      </w:r>
    </w:p>
    <w:p>
      <w:pPr>
        <w:pStyle w:val="Small"/>
        <w:spacing w:before="400"/>
      </w:pPr>
      <w:r>
        <w:rPr>
          <w:b/>
        </w:rPr>
        <w:t xml:space="preserve">Status: </w:t>
      </w:r>
      <w:r>
        <w:t>Strategic baseline approved for UX, naming and design exploration. Final name, logo, colours, typography and visual system remain open.</w:t>
      </w:r>
    </w:p>
    <w:p>
      <w:r>
        <w:br w:type="page"/>
      </w:r>
    </w:p>
    <w:p>
      <w:pPr>
        <w:pStyle w:val="Heading1"/>
      </w:pPr>
      <w:r>
        <w:t>1. Strategic summary</w:t>
      </w:r>
    </w:p>
    <w:p>
      <w:pPr>
        <w:spacing w:after="60"/>
      </w:pPr>
      <w:r>
        <w:rPr>
          <w:b/>
          <w:color w:val="785641"/>
        </w:rPr>
        <w:t xml:space="preserve">Category  </w:t>
      </w:r>
      <w:r>
        <w:t>Trusted gluten-free baking product / modern baking companion.</w:t>
      </w:r>
    </w:p>
    <w:p>
      <w:pPr>
        <w:spacing w:after="60"/>
      </w:pPr>
      <w:r>
        <w:rPr>
          <w:b/>
          <w:color w:val="785641"/>
        </w:rPr>
        <w:t xml:space="preserve">Core positioning  </w:t>
      </w:r>
      <w:r>
        <w:t>A small, carefully tested collection of familiar gluten-free baking recipes designed to help ordinary home cooks get reliable results without becoming gluten-free baking experts.</w:t>
      </w:r>
    </w:p>
    <w:p>
      <w:pPr>
        <w:spacing w:after="60"/>
      </w:pPr>
      <w:r>
        <w:rPr>
          <w:b/>
          <w:color w:val="785641"/>
        </w:rPr>
        <w:t xml:space="preserve">Emotional promise  </w:t>
      </w:r>
      <w:r>
        <w:t>Going gluten-free does not mean giving up the baking you love.</w:t>
      </w:r>
    </w:p>
    <w:p>
      <w:pPr>
        <w:spacing w:after="60"/>
      </w:pPr>
      <w:r>
        <w:rPr>
          <w:b/>
          <w:color w:val="785641"/>
        </w:rPr>
        <w:t xml:space="preserve">Rational proof  </w:t>
      </w:r>
      <w:r>
        <w:t>Tested recipes, specific flour mixes, known variations, precise baking context and clear uncertainty.</w:t>
      </w:r>
    </w:p>
    <w:p>
      <w:pPr>
        <w:spacing w:after="60"/>
      </w:pPr>
      <w:r>
        <w:rPr>
          <w:b/>
          <w:color w:val="785641"/>
        </w:rPr>
        <w:t xml:space="preserve">Product philosophy  </w:t>
      </w:r>
      <w:r>
        <w:t>Fewer recipes. More confidence.</w:t>
      </w:r>
    </w:p>
    <w:p>
      <w:pPr>
        <w:spacing w:after="60"/>
      </w:pPr>
      <w:r>
        <w:rPr>
          <w:b/>
          <w:color w:val="785641"/>
        </w:rPr>
        <w:t xml:space="preserve">Long-term idea  </w:t>
      </w:r>
      <w:r>
        <w:t>Help users build a trusted personal baking repertoire, not an endless feed.</w:t>
      </w:r>
    </w:p>
    <w:p>
      <w:r>
        <w:rPr>
          <w:b/>
        </w:rPr>
        <w:t xml:space="preserve">Why this territory is credible. </w:t>
      </w:r>
      <w:r>
        <w:t>The current inventory contains 17 recipes marked Core verified — recipes the author has prepared many times with stable, repeatable results. The inventory already tracks flour, launch priority, hero candidates, retesting needs and variation status. This gives the brand a real operational basis for trust rather than a purely marketing claim.</w:t>
      </w:r>
    </w:p>
    <w:p>
      <w:pPr>
        <w:pStyle w:val="Heading1"/>
      </w:pPr>
      <w:r>
        <w:t>2. Market opportunity</w:t>
      </w:r>
    </w:p>
    <w:p>
      <w:r>
        <w:t>The 2026 competitor research shows that leading recipe products already solve many generic problems well: editorial trust, recipe discovery, Cook Mode, meal planning, shopping lists, scaling and AI assistance. The stronger whitespace for this product is more specific:</w:t>
      </w:r>
    </w:p>
    <w:p>
      <w:pPr>
        <w:pStyle w:val="ListBullet"/>
        <w:spacing w:after="60"/>
      </w:pPr>
      <w:r>
        <w:t>Provenance for each adaptation — not just one “tested” badge for the whole recipe.</w:t>
      </w:r>
    </w:p>
    <w:p>
      <w:pPr>
        <w:pStyle w:val="ListBullet"/>
        <w:spacing w:after="60"/>
      </w:pPr>
      <w:r>
        <w:t>Gluten-free flour mix specificity and compatibility, especially for commercial blends.</w:t>
      </w:r>
    </w:p>
    <w:p>
      <w:pPr>
        <w:pStyle w:val="ListBullet"/>
        <w:spacing w:after="60"/>
      </w:pPr>
      <w:r>
        <w:t>Baking-aware scaling that distinguishes tested sizes from calculated conversions.</w:t>
      </w:r>
    </w:p>
    <w:p>
      <w:pPr>
        <w:pStyle w:val="ListBullet"/>
        <w:spacing w:after="60"/>
      </w:pPr>
      <w:r>
        <w:t>Clear separation between verified recipe knowledge, author guidance and AI suggestions.</w:t>
      </w:r>
    </w:p>
    <w:p>
      <w:pPr>
        <w:pStyle w:val="ListBullet"/>
        <w:spacing w:after="60"/>
      </w:pPr>
      <w:r>
        <w:t>A small-catalog model that helps people build a reliable personal repertoire.</w:t>
      </w:r>
    </w:p>
    <w:p>
      <w:pPr>
        <w:pStyle w:val="ListBullet"/>
        <w:spacing w:after="60"/>
      </w:pPr>
      <w:r>
        <w:t>Multilingual continuity across the same recipe entity, saved state and shopping context.</w:t>
      </w:r>
    </w:p>
    <w:p>
      <w:r>
        <w:rPr>
          <w:b/>
        </w:rPr>
        <w:t xml:space="preserve">Strategic consequence. </w:t>
      </w:r>
      <w:r>
        <w:t>Trust is not only a brand value; it should be visible in the product model and interface.</w:t>
      </w:r>
    </w:p>
    <w:p>
      <w:pPr>
        <w:pStyle w:val="Heading1"/>
      </w:pPr>
      <w:r>
        <w:t>3. Audience and user need</w:t>
      </w:r>
    </w:p>
    <w:p>
      <w:pPr>
        <w:pStyle w:val="Heading2"/>
      </w:pPr>
      <w:r>
        <w:t>Primary audience</w:t>
      </w:r>
    </w:p>
    <w:p>
      <w:r>
        <w:t>Ordinary home cooks with limited or moderate baking experience who need dependable gluten-free baking for themselves or someone they care about. They want familiar food and predictable results, not a course in gluten-free food science.</w:t>
      </w:r>
    </w:p>
    <w:p>
      <w:pPr>
        <w:pStyle w:val="Heading2"/>
      </w:pPr>
      <w:r>
        <w:t>Primary user state</w:t>
      </w:r>
    </w:p>
    <w:p>
      <w:pPr>
        <w:pStyle w:val="Quote"/>
        <w:ind w:left="170"/>
      </w:pPr>
      <w:r>
        <w:t>“I do not want to experiment. I want it to work.”</w:t>
      </w:r>
    </w:p>
    <w:p>
      <w:pPr>
        <w:pStyle w:val="ListBullet"/>
        <w:spacing w:after="60"/>
      </w:pPr>
      <w:r>
        <w:t>A parent baking for a child who eats gluten-free while wanting food the whole family will enjoy.</w:t>
      </w:r>
    </w:p>
    <w:p>
      <w:pPr>
        <w:pStyle w:val="ListBullet"/>
        <w:spacing w:after="60"/>
      </w:pPr>
      <w:r>
        <w:t>A newly gluten-free adult who misses familiar cakes, pancakes, cookies and pastries.</w:t>
      </w:r>
    </w:p>
    <w:p>
      <w:pPr>
        <w:pStyle w:val="ListBullet"/>
        <w:spacing w:after="60"/>
      </w:pPr>
      <w:r>
        <w:t>An experienced home cook tired of uncertain substitutions, generic “gluten-free flour” instructions and inconsistent results.</w:t>
      </w:r>
    </w:p>
    <w:p>
      <w:r>
        <w:rPr>
          <w:b/>
        </w:rPr>
        <w:t xml:space="preserve">Not the primary audience: </w:t>
      </w:r>
      <w:r>
        <w:t>professional bakers, food scientists, highly technical experimental bakers, or people mainly looking for medical or nutrition guidance.</w:t>
      </w:r>
    </w:p>
    <w:p>
      <w:pPr>
        <w:pStyle w:val="Heading1"/>
      </w:pPr>
      <w:r>
        <w:t>4. Brand promise and differentiation</w:t>
      </w:r>
    </w:p>
    <w:p>
      <w:pPr>
        <w:pStyle w:val="Heading2"/>
      </w:pPr>
      <w:r>
        <w:t>Brand promise</w:t>
      </w:r>
    </w:p>
    <w:p>
      <w:pPr>
        <w:pStyle w:val="Quote"/>
        <w:ind w:left="170"/>
      </w:pPr>
      <w:r>
        <w:t>Bake what you love. Know what works.</w:t>
      </w:r>
    </w:p>
    <w:p>
      <w:r>
        <w:t>The promise has two layers:</w:t>
      </w:r>
    </w:p>
    <w:p>
      <w:pPr>
        <w:pStyle w:val="ListBullet"/>
        <w:spacing w:after="60"/>
      </w:pPr>
      <w:r>
        <w:t>Emotional: you can keep the baking you love after going gluten-free.</w:t>
      </w:r>
    </w:p>
    <w:p>
      <w:pPr>
        <w:pStyle w:val="ListBullet"/>
        <w:spacing w:after="60"/>
      </w:pPr>
      <w:r>
        <w:t>Functional: the product makes it clear what has actually been tested and what has not.</w:t>
      </w:r>
    </w:p>
    <w:p>
      <w:pPr>
        <w:pStyle w:val="Heading2"/>
      </w:pPr>
      <w:r>
        <w:t>Primary differentiator: verified adaptations</w:t>
      </w:r>
    </w:p>
    <w:p>
      <w:r>
        <w:t>A recipe should not inherit one undifferentiated trust status. The product should be capable of describing trust at the level of the adaptation:</w:t>
      </w:r>
    </w:p>
    <w:p>
      <w:pPr>
        <w:pStyle w:val="ListBullet"/>
        <w:spacing w:after="60"/>
      </w:pPr>
      <w:r>
        <w:t>Base recipe — repeatedly tested / tested / needs retest.</w:t>
      </w:r>
    </w:p>
    <w:p>
      <w:pPr>
        <w:pStyle w:val="ListBullet"/>
        <w:spacing w:after="60"/>
      </w:pPr>
      <w:r>
        <w:t>Flour mix — tested / likely / avoid / unknown, using only statuses the product can support honestly.</w:t>
      </w:r>
    </w:p>
    <w:p>
      <w:pPr>
        <w:pStyle w:val="ListBullet"/>
        <w:spacing w:after="60"/>
      </w:pPr>
      <w:r>
        <w:t>Form or pan size — tested or calculated.</w:t>
      </w:r>
    </w:p>
    <w:p>
      <w:pPr>
        <w:pStyle w:val="ListBullet"/>
        <w:spacing w:after="60"/>
      </w:pPr>
      <w:r>
        <w:t>Serving scale — tested or calculated.</w:t>
      </w:r>
    </w:p>
    <w:p>
      <w:pPr>
        <w:pStyle w:val="ListBullet"/>
        <w:spacing w:after="60"/>
      </w:pPr>
      <w:r>
        <w:t>Lower-sugar, lighter, dairy-free or other variation — tested only when actually baked successfully.</w:t>
      </w:r>
    </w:p>
    <w:p>
      <w:pPr>
        <w:pStyle w:val="ListBullet"/>
        <w:spacing w:after="60"/>
      </w:pPr>
      <w:r>
        <w:t>AI-generated or speculative adaptation — explicitly suggested, never presented as verified.</w:t>
      </w:r>
    </w:p>
    <w:p>
      <w:r>
        <w:rPr>
          <w:b/>
        </w:rPr>
        <w:t xml:space="preserve">Important language principle. </w:t>
      </w:r>
      <w:r>
        <w:t>Prefer simple, human labels such as “Tested with Schär Mix B”, “Made many times”, “Calculated for a 24 cm tin”, or “I haven’t tested this version” rather than technical provenance jargon in the consumer UI.</w:t>
      </w:r>
    </w:p>
    <w:p>
      <w:pPr>
        <w:pStyle w:val="Heading1"/>
      </w:pPr>
      <w:r>
        <w:t>5. How the brand should show up in the product</w:t>
      </w:r>
    </w:p>
    <w:p>
      <w:pPr>
        <w:pStyle w:val="Heading2"/>
      </w:pPr>
      <w:r>
        <w:t>Recipe-first</w:t>
      </w:r>
    </w:p>
    <w:p>
      <w:pPr>
        <w:pStyle w:val="ListBullet"/>
        <w:spacing w:after="60"/>
      </w:pPr>
      <w:r>
        <w:t>Food image, concise promise and practical metadata before editorial story.</w:t>
      </w:r>
    </w:p>
    <w:p>
      <w:pPr>
        <w:pStyle w:val="ListBullet"/>
        <w:spacing w:after="60"/>
      </w:pPr>
      <w:r>
        <w:t>Ingredients and method should be easy to reach without scrolling through SEO filler.</w:t>
      </w:r>
    </w:p>
    <w:p>
      <w:pPr>
        <w:pStyle w:val="ListBullet"/>
        <w:spacing w:after="60"/>
      </w:pPr>
      <w:r>
        <w:t>Editorial context belongs below the practical recipe or behind optional disclosure.</w:t>
      </w:r>
    </w:p>
    <w:p>
      <w:pPr>
        <w:pStyle w:val="Heading2"/>
      </w:pPr>
      <w:r>
        <w:t>Specificity builds trust</w:t>
      </w:r>
    </w:p>
    <w:p>
      <w:pPr>
        <w:pStyle w:val="ListBullet"/>
        <w:spacing w:after="60"/>
      </w:pPr>
      <w:r>
        <w:t>Weights in grams where appropriate.</w:t>
      </w:r>
    </w:p>
    <w:p>
      <w:pPr>
        <w:pStyle w:val="ListBullet"/>
        <w:spacing w:after="60"/>
      </w:pPr>
      <w:r>
        <w:t>Exact commercial flour mix when that is what was tested.</w:t>
      </w:r>
    </w:p>
    <w:p>
      <w:pPr>
        <w:pStyle w:val="ListBullet"/>
        <w:spacing w:after="60"/>
      </w:pPr>
      <w:r>
        <w:t>Pan/form dimensions and material when relevant.</w:t>
      </w:r>
    </w:p>
    <w:p>
      <w:pPr>
        <w:pStyle w:val="ListBullet"/>
        <w:spacing w:after="60"/>
      </w:pPr>
      <w:r>
        <w:t>Checkpoints for batter/dough consistency and doneness where they reduce failure.</w:t>
      </w:r>
    </w:p>
    <w:p>
      <w:pPr>
        <w:pStyle w:val="Heading2"/>
      </w:pPr>
      <w:r>
        <w:t>Two-mode recipe experience</w:t>
      </w:r>
    </w:p>
    <w:p>
      <w:pPr>
        <w:pStyle w:val="ListBullet"/>
        <w:spacing w:after="60"/>
      </w:pPr>
      <w:r>
        <w:t>Planning view: complete overview, ingredients, yield, form, flour, variations and actions.</w:t>
      </w:r>
    </w:p>
    <w:p>
      <w:pPr>
        <w:pStyle w:val="ListBullet"/>
        <w:spacing w:after="60"/>
      </w:pPr>
      <w:r>
        <w:t>Cooking view: large steps, quantities in context, minimal distraction and later timers/wake-lock where useful.</w:t>
      </w:r>
    </w:p>
    <w:p>
      <w:pPr>
        <w:pStyle w:val="Heading2"/>
      </w:pPr>
      <w:r>
        <w:t>Small catalog confidence</w:t>
      </w:r>
    </w:p>
    <w:p>
      <w:r>
        <w:t>The initial collection should be treated as a strength, not as an incomplete version of a giant recipe database. The product should help a user move from first discovery to “these are my reliable recipes.” Useful future states include Want to Bake, Baked, Favourites, Recently Viewed and private notes.</w:t>
      </w:r>
    </w:p>
    <w:p>
      <w:pPr>
        <w:pStyle w:val="Heading1"/>
      </w:pPr>
      <w:r>
        <w:t>6. Recipe scope and variation policy</w:t>
      </w:r>
    </w:p>
    <w:p>
      <w:r>
        <w:rPr>
          <w:b/>
        </w:rPr>
        <w:t xml:space="preserve">Core catalogue: </w:t>
      </w:r>
      <w:r>
        <w:t>gluten-free recipes only. Do not dilute the positioning with parallel wheat-flour recipes at launch.</w:t>
      </w:r>
    </w:p>
    <w:p>
      <w:r>
        <w:t>Variations can be part of a recipe when they are useful and their status is clear. Relevant examples include:</w:t>
      </w:r>
    </w:p>
    <w:p>
      <w:pPr>
        <w:pStyle w:val="ListBullet"/>
        <w:spacing w:after="60"/>
      </w:pPr>
      <w:r>
        <w:t>lower-sugar version;</w:t>
      </w:r>
    </w:p>
    <w:p>
      <w:pPr>
        <w:pStyle w:val="ListBullet"/>
        <w:spacing w:after="60"/>
      </w:pPr>
      <w:r>
        <w:t>lighter / lower-fat adaptation;</w:t>
      </w:r>
    </w:p>
    <w:p>
      <w:pPr>
        <w:pStyle w:val="ListBullet"/>
        <w:spacing w:after="60"/>
      </w:pPr>
      <w:r>
        <w:t>tested alternative commercial flour mix;</w:t>
      </w:r>
    </w:p>
    <w:p>
      <w:pPr>
        <w:pStyle w:val="ListBullet"/>
        <w:spacing w:after="60"/>
      </w:pPr>
      <w:r>
        <w:t>tested dairy-free or egg-free variation;</w:t>
      </w:r>
    </w:p>
    <w:p>
      <w:pPr>
        <w:pStyle w:val="ListBullet"/>
        <w:spacing w:after="60"/>
      </w:pPr>
      <w:r>
        <w:t>different form size or yield;</w:t>
      </w:r>
    </w:p>
    <w:p>
      <w:pPr>
        <w:pStyle w:val="ListBullet"/>
        <w:spacing w:after="60"/>
      </w:pPr>
      <w:r>
        <w:t>documented flavour or filling variation.</w:t>
      </w:r>
    </w:p>
    <w:p>
      <w:r>
        <w:rPr>
          <w:b/>
        </w:rPr>
        <w:t xml:space="preserve">Do not position these as “healthy”, “guilt-free” or medical improvements. </w:t>
      </w:r>
      <w:r>
        <w:t>Describe the actual change: “less sweet”, “lighter cream”, “20% less sugar”, etc. This keeps the brand food-first and avoids drifting into wellness claims.</w:t>
      </w:r>
    </w:p>
    <w:p>
      <w:pPr>
        <w:pStyle w:val="Heading1"/>
      </w:pPr>
      <w:r>
        <w:t>7. Brand personality and tone of voice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EEEC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22222"/>
              </w:rPr>
              <w:t>Trait</w:t>
            </w:r>
          </w:p>
        </w:tc>
        <w:tc>
          <w:tcPr>
            <w:tcW w:type="dxa" w:w="4986"/>
            <w:shd w:fill="EEEC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22222"/>
              </w:rPr>
              <w:t>Expression</w:t>
            </w:r>
          </w:p>
        </w:tc>
      </w:tr>
      <w:tr>
        <w:trPr>
          <w:cantSplit/>
        </w:trP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Warm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Human and reassuring, without becoming cute or influencer-like.</w:t>
            </w:r>
          </w:p>
        </w:tc>
      </w:tr>
      <w:tr>
        <w:trPr>
          <w:cantSplit/>
        </w:trP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Calm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Reduces uncertainty; does not dramatise gluten-free baking.</w:t>
            </w:r>
          </w:p>
        </w:tc>
      </w:tr>
      <w:tr>
        <w:trPr>
          <w:cantSplit/>
        </w:trP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Modern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Feels like a current digital product, not a legacy recipe blog.</w:t>
            </w:r>
          </w:p>
        </w:tc>
      </w:tr>
      <w:tr>
        <w:trPr>
          <w:cantSplit/>
        </w:trP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Precise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Uses specific quantities, flour mixes, forms and tested states.</w:t>
            </w:r>
          </w:p>
        </w:tc>
      </w:tr>
      <w:tr>
        <w:trPr>
          <w:cantSplit/>
        </w:trP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Transparent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Says clearly when something has not been tested.</w:t>
            </w:r>
          </w:p>
        </w:tc>
      </w:tr>
      <w:tr>
        <w:trPr>
          <w:cantSplit/>
        </w:trP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Unpretentious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Practical home baking, not culinary performance.</w:t>
            </w:r>
          </w:p>
        </w:tc>
      </w:tr>
    </w:tbl>
    <w:p>
      <w:pPr>
        <w:spacing w:before="160"/>
      </w:pPr>
      <w:r>
        <w:rPr>
          <w:b/>
        </w:rPr>
        <w:t xml:space="preserve">Preferred voice: </w:t>
      </w:r>
      <w:r>
        <w:t>short, specific, confident where verified, explicitly uncertain where not verified.</w:t>
      </w:r>
    </w:p>
    <w:p>
      <w:r>
        <w:rPr>
          <w:b/>
        </w:rPr>
        <w:t xml:space="preserve">Example: </w:t>
      </w:r>
      <w:r>
        <w:t>“This version was tested with Schär Mix B. I haven’t tested Mix C, so I can’t promise the same texture.”</w:t>
      </w:r>
    </w:p>
    <w:p>
      <w:pPr>
        <w:pStyle w:val="Heading1"/>
      </w:pPr>
      <w:r>
        <w:t>8. Visual territory</w:t>
      </w:r>
    </w:p>
    <w:p>
      <w:r>
        <w:t>The visual direction is now constrained enough to guide exploration, but it is not yet a final identity.</w:t>
      </w:r>
    </w:p>
    <w:p>
      <w:pPr>
        <w:pStyle w:val="ListBullet"/>
        <w:spacing w:after="60"/>
      </w:pPr>
      <w:r>
        <w:t>Foundation: quiet confidence and editorial restraint.</w:t>
      </w:r>
    </w:p>
    <w:p>
      <w:pPr>
        <w:pStyle w:val="ListBullet"/>
        <w:spacing w:after="60"/>
      </w:pPr>
      <w:r>
        <w:t>Emotional layer: natural warmth, generous food, an everyday kitchen rather than a laboratory.</w:t>
      </w:r>
    </w:p>
    <w:p>
      <w:pPr>
        <w:pStyle w:val="ListBullet"/>
        <w:spacing w:after="60"/>
      </w:pPr>
      <w:r>
        <w:t>Photography: food-first, appetising, tactile, strong texture, process when useful.</w:t>
      </w:r>
    </w:p>
    <w:p>
      <w:pPr>
        <w:pStyle w:val="ListBullet"/>
        <w:spacing w:after="60"/>
      </w:pPr>
      <w:r>
        <w:t>Digital character: clean hierarchy, generous whitespace, excellent mobile reading and cooking states.</w:t>
      </w:r>
    </w:p>
    <w:p>
      <w:r>
        <w:rPr>
          <w:b/>
        </w:rPr>
        <w:t xml:space="preserve">Should not feel like: </w:t>
      </w:r>
      <w:r>
        <w:t>a healthy-green gluten-free blog, medical resource, personal mommy blog, rustic craft nostalgia, luxury artisan bakery, or an “AI-powered” technology showcase.</w:t>
      </w:r>
    </w:p>
    <w:p>
      <w:r>
        <w:rPr>
          <w:b/>
        </w:rPr>
        <w:t xml:space="preserve">Reference mix from research: </w:t>
      </w:r>
      <w:r>
        <w:t>visual restraint from Kitchen Stories / NYT; baking precision from King Arthur; Cook Mode clarity from Apple; provenance discipline from Cookidoo; lightweight utility from Jow. These are references, not templates.</w:t>
      </w:r>
    </w:p>
    <w:p>
      <w:pPr>
        <w:pStyle w:val="Heading1"/>
      </w:pPr>
      <w:r>
        <w:t>9. Role of AI</w:t>
      </w:r>
    </w:p>
    <w:p>
      <w:r>
        <w:rPr>
          <w:b/>
        </w:rPr>
        <w:t xml:space="preserve">AI is not the brand promise and not the chef. </w:t>
      </w:r>
      <w:r>
        <w:t>The trusted recipe collection is the source of truth; AI is a contextual interface to that collection.</w:t>
      </w:r>
    </w:p>
    <w:p>
      <w:pPr>
        <w:pStyle w:val="ListBullet"/>
        <w:spacing w:after="60"/>
      </w:pPr>
      <w:r>
        <w:t>Good uses: find relevant recipes, explain a step, interpret a verified substitution, create a shopping list, navigate recipe context and answer grounded questions.</w:t>
      </w:r>
    </w:p>
    <w:p>
      <w:pPr>
        <w:pStyle w:val="ListBullet"/>
        <w:spacing w:after="60"/>
      </w:pPr>
      <w:r>
        <w:t>Deterministic code should handle arithmetic such as supported scaling where rules are known.</w:t>
      </w:r>
    </w:p>
    <w:p>
      <w:pPr>
        <w:pStyle w:val="ListBullet"/>
        <w:spacing w:after="60"/>
      </w:pPr>
      <w:r>
        <w:t>AI suggestions must never silently inherit “tested” status.</w:t>
      </w:r>
    </w:p>
    <w:p>
      <w:pPr>
        <w:pStyle w:val="ListBullet"/>
        <w:spacing w:after="60"/>
      </w:pPr>
      <w:r>
        <w:t>A high-quality AI response includes the ability to say “this is not covered by the verified notes”.</w:t>
      </w:r>
    </w:p>
    <w:p>
      <w:pPr>
        <w:pStyle w:val="Heading1"/>
      </w:pPr>
      <w:r>
        <w:t>10. Audience acquisition and retention hypothesis</w:t>
      </w:r>
    </w:p>
    <w:p>
      <w:pPr>
        <w:pStyle w:val="Heading2"/>
      </w:pPr>
      <w:r>
        <w:t>Primary discovery: search</w:t>
      </w:r>
    </w:p>
    <w:p>
      <w:r>
        <w:t>At launch, people are more likely to discover individual recipe pages than the brand homepage. Search intent is concrete: a gluten-free Napoleon, cinnamon rolls, crepes, a recipe using a particular flour mix, or a substitution question. Each strong recipe page is therefore both a cooking tool and an acquisition landing page.</w:t>
      </w:r>
    </w:p>
    <w:p>
      <w:pPr>
        <w:pStyle w:val="Heading2"/>
      </w:pPr>
      <w:r>
        <w:t>Secondary discovery: Instagram</w:t>
      </w:r>
    </w:p>
    <w:p>
      <w:r>
        <w:t>Instagram should create desire through food photography, hands-only preparation, process reels and texture reveals, then hand off to the canonical website recipe. The website and Instagram should be one content system, not two unrelated projects.</w:t>
      </w:r>
    </w:p>
    <w:p>
      <w:pPr>
        <w:pStyle w:val="Heading2"/>
      </w:pPr>
      <w:r>
        <w:t>Later / lightweight discovery: Pinterest</w:t>
      </w:r>
    </w:p>
    <w:p>
      <w:r>
        <w:t>Pinterest can reuse vertical recipe assets with low incremental production cost. It is a later or opportunistic acquisition channel, not an MVP dependency.</w:t>
      </w:r>
    </w:p>
    <w:p>
      <w:pPr>
        <w:pStyle w:val="Heading2"/>
      </w:pPr>
      <w:r>
        <w:t>Retention loop</w:t>
      </w:r>
    </w:p>
    <w:p>
      <w:r>
        <w:t>Search or social discovery → trust on the recipe page → successful bake → save / mark Baked / private note → repeat visit → personal trusted repertoire.</w:t>
      </w:r>
    </w:p>
    <w:p>
      <w:pPr>
        <w:pStyle w:val="Heading1"/>
      </w:pPr>
      <w:r>
        <w:t>11. Strategic principles and guardrails</w:t>
      </w:r>
    </w:p>
    <w:p>
      <w:pPr>
        <w:spacing w:after="80"/>
      </w:pPr>
      <w:r>
        <w:rPr>
          <w:b/>
          <w:color w:val="785641"/>
        </w:rPr>
        <w:t xml:space="preserve">Trust before volume — </w:t>
      </w:r>
      <w:r>
        <w:t>Do not expand the catalogue merely to look complete.</w:t>
      </w:r>
    </w:p>
    <w:p>
      <w:pPr>
        <w:spacing w:after="80"/>
      </w:pPr>
      <w:r>
        <w:rPr>
          <w:b/>
          <w:color w:val="785641"/>
        </w:rPr>
        <w:t xml:space="preserve">Practical before editorial — </w:t>
      </w:r>
      <w:r>
        <w:t>Help the user bake first; story is supporting context.</w:t>
      </w:r>
    </w:p>
    <w:p>
      <w:pPr>
        <w:spacing w:after="80"/>
      </w:pPr>
      <w:r>
        <w:rPr>
          <w:b/>
          <w:color w:val="785641"/>
        </w:rPr>
        <w:t xml:space="preserve">Verified before clever — </w:t>
      </w:r>
      <w:r>
        <w:t>A plain confirmed answer is more valuable than an impressive uncertain one.</w:t>
      </w:r>
    </w:p>
    <w:p>
      <w:pPr>
        <w:spacing w:after="80"/>
      </w:pPr>
      <w:r>
        <w:rPr>
          <w:b/>
          <w:color w:val="785641"/>
        </w:rPr>
        <w:t xml:space="preserve">Food before wellness — </w:t>
      </w:r>
      <w:r>
        <w:t>Do not build the brand around health virtue, guilt, restriction or “clean eating”.</w:t>
      </w:r>
    </w:p>
    <w:p>
      <w:pPr>
        <w:spacing w:after="80"/>
      </w:pPr>
      <w:r>
        <w:rPr>
          <w:b/>
          <w:color w:val="785641"/>
        </w:rPr>
        <w:t xml:space="preserve">Product before personality — </w:t>
      </w:r>
      <w:r>
        <w:t>The author story establishes authenticity but should not dominate the brand.</w:t>
      </w:r>
    </w:p>
    <w:p>
      <w:pPr>
        <w:spacing w:after="80"/>
      </w:pPr>
      <w:r>
        <w:rPr>
          <w:b/>
          <w:color w:val="785641"/>
        </w:rPr>
        <w:t xml:space="preserve">Modern without feature overload — </w:t>
      </w:r>
      <w:r>
        <w:t>Add utility only where it improves a real baking workflow.</w:t>
      </w:r>
    </w:p>
    <w:p>
      <w:pPr>
        <w:spacing w:after="80"/>
      </w:pPr>
      <w:r>
        <w:rPr>
          <w:b/>
          <w:color w:val="785641"/>
        </w:rPr>
        <w:t xml:space="preserve">Transparency is a feature — </w:t>
      </w:r>
      <w:r>
        <w:t>Unknown, calculated and suggested states should be visible, not hidden.</w:t>
      </w:r>
    </w:p>
    <w:p>
      <w:pPr>
        <w:spacing w:after="80"/>
      </w:pPr>
      <w:r>
        <w:rPr>
          <w:b/>
          <w:color w:val="785641"/>
        </w:rPr>
        <w:t xml:space="preserve">Multilingual from the foundation — </w:t>
      </w:r>
      <w:r>
        <w:t>EN, ES and UK should share one conceptual recipe entity while supporting localized content and SEO.</w:t>
      </w:r>
    </w:p>
    <w:p>
      <w:pPr>
        <w:pStyle w:val="Heading1"/>
      </w:pPr>
      <w:r>
        <w:t>12. Decision status</w:t>
      </w:r>
    </w:p>
    <w:p>
      <w:pPr>
        <w:pStyle w:val="Heading2"/>
      </w:pPr>
      <w:r>
        <w:t>Decided for v2</w:t>
      </w:r>
    </w:p>
    <w:p>
      <w:pPr>
        <w:pStyle w:val="ListBullet"/>
        <w:spacing w:after="60"/>
      </w:pPr>
      <w:r>
        <w:t>Core user insight and promise.</w:t>
      </w:r>
    </w:p>
    <w:p>
      <w:pPr>
        <w:pStyle w:val="ListBullet"/>
        <w:spacing w:after="60"/>
      </w:pPr>
      <w:r>
        <w:t>Small trusted gluten-free collection as the strategic core.</w:t>
      </w:r>
    </w:p>
    <w:p>
      <w:pPr>
        <w:pStyle w:val="ListBullet"/>
        <w:spacing w:after="60"/>
      </w:pPr>
      <w:r>
        <w:t>Verified adaptation / provenance as the main differentiation.</w:t>
      </w:r>
    </w:p>
    <w:p>
      <w:pPr>
        <w:pStyle w:val="ListBullet"/>
        <w:spacing w:after="60"/>
      </w:pPr>
      <w:r>
        <w:t>GF-only core catalogue with explicit tested variations.</w:t>
      </w:r>
    </w:p>
    <w:p>
      <w:pPr>
        <w:pStyle w:val="ListBullet"/>
        <w:spacing w:after="60"/>
      </w:pPr>
      <w:r>
        <w:t>Warm + calm + modern + precise + transparent personality.</w:t>
      </w:r>
    </w:p>
    <w:p>
      <w:pPr>
        <w:pStyle w:val="ListBullet"/>
        <w:spacing w:after="60"/>
      </w:pPr>
      <w:r>
        <w:t>Modern editorial restraint + natural warmth as the visual territory.</w:t>
      </w:r>
    </w:p>
    <w:p>
      <w:pPr>
        <w:pStyle w:val="ListBullet"/>
        <w:spacing w:after="60"/>
      </w:pPr>
      <w:r>
        <w:t>AI as contextual interface, not brand promise.</w:t>
      </w:r>
    </w:p>
    <w:p>
      <w:pPr>
        <w:pStyle w:val="ListBullet"/>
        <w:spacing w:after="60"/>
      </w:pPr>
      <w:r>
        <w:t>Search as primary long-term acquisition; Instagram as visual discovery.</w:t>
      </w:r>
    </w:p>
    <w:p>
      <w:pPr>
        <w:pStyle w:val="ListBullet"/>
        <w:spacing w:after="60"/>
      </w:pPr>
      <w:r>
        <w:t>Fewer recipes. More confidence. as a product philosophy.</w:t>
      </w:r>
    </w:p>
    <w:p>
      <w:pPr>
        <w:pStyle w:val="ListBullet"/>
        <w:spacing w:after="60"/>
      </w:pPr>
      <w:r>
        <w:t>Trusted personal baking repertoire as the long-term retention idea.</w:t>
      </w:r>
    </w:p>
    <w:p>
      <w:pPr>
        <w:pStyle w:val="Heading2"/>
      </w:pPr>
      <w:r>
        <w:t>Still open</w:t>
      </w:r>
    </w:p>
    <w:p>
      <w:pPr>
        <w:pStyle w:val="ListBullet"/>
        <w:spacing w:after="60"/>
      </w:pPr>
      <w:r>
        <w:t>Final product name and domain.</w:t>
      </w:r>
    </w:p>
    <w:p>
      <w:pPr>
        <w:pStyle w:val="ListBullet"/>
        <w:spacing w:after="60"/>
      </w:pPr>
      <w:r>
        <w:t>Logo / wordmark.</w:t>
      </w:r>
    </w:p>
    <w:p>
      <w:pPr>
        <w:pStyle w:val="ListBullet"/>
        <w:spacing w:after="60"/>
      </w:pPr>
      <w:r>
        <w:t>Final colour palette and typography.</w:t>
      </w:r>
    </w:p>
    <w:p>
      <w:pPr>
        <w:pStyle w:val="ListBullet"/>
        <w:spacing w:after="60"/>
      </w:pPr>
      <w:r>
        <w:t>Final photography system and art direction.</w:t>
      </w:r>
    </w:p>
    <w:p>
      <w:pPr>
        <w:pStyle w:val="ListBullet"/>
        <w:spacing w:after="60"/>
      </w:pPr>
      <w:r>
        <w:t>Exact navigation and information architecture.</w:t>
      </w:r>
    </w:p>
    <w:p>
      <w:pPr>
        <w:pStyle w:val="ListBullet"/>
        <w:spacing w:after="60"/>
      </w:pPr>
      <w:r>
        <w:t>Exact recipe page, provenance and variation UI.</w:t>
      </w:r>
    </w:p>
    <w:p>
      <w:pPr>
        <w:pStyle w:val="ListBullet"/>
        <w:spacing w:after="60"/>
      </w:pPr>
      <w:r>
        <w:t>Final launch recipe set and publication sequence.</w:t>
      </w:r>
    </w:p>
    <w:p>
      <w:pPr>
        <w:pStyle w:val="ListBullet"/>
        <w:spacing w:after="60"/>
      </w:pPr>
      <w:r>
        <w:t>Exact SEO keyword opportunities for the concrete recipe inventory.</w:t>
      </w:r>
    </w:p>
    <w:p>
      <w:pPr>
        <w:pStyle w:val="Heading1"/>
      </w:pPr>
      <w:r>
        <w:t>13. Next workstreams</w:t>
      </w:r>
    </w:p>
    <w:p>
      <w:pPr>
        <w:spacing w:after="60"/>
      </w:pPr>
      <w:r>
        <w:rPr>
          <w:b/>
          <w:color w:val="785641"/>
        </w:rPr>
        <w:t xml:space="preserve">Chat 01 — Product UX &amp; Information Architecture  </w:t>
      </w:r>
      <w:r>
        <w:t>Define jobs-to-be-done, core user journeys, sitemap, recipe-page architecture, provenance/variation interactions and low-fidelity wireframes.</w:t>
      </w:r>
    </w:p>
    <w:p>
      <w:pPr>
        <w:spacing w:after="60"/>
      </w:pPr>
      <w:r>
        <w:rPr>
          <w:b/>
          <w:color w:val="785641"/>
        </w:rPr>
        <w:t xml:space="preserve">Chat 02 — Naming &amp; Visual Identity  </w:t>
      </w:r>
      <w:r>
        <w:t>Explore naming territories and candidates that fit this strategy, then narrow visual directions without prematurely locking colours or logo.</w:t>
      </w:r>
    </w:p>
    <w:p>
      <w:pPr>
        <w:spacing w:after="60"/>
      </w:pPr>
      <w:r>
        <w:rPr>
          <w:b/>
          <w:color w:val="785641"/>
        </w:rPr>
        <w:t xml:space="preserve">Recipe inventory / content workstream  </w:t>
      </w:r>
      <w:r>
        <w:t>Continue capturing missing recipe text, timing, difficulty, form sizes, photos, tested variations and publication readiness.</w:t>
      </w:r>
    </w:p>
    <w:p>
      <w:pPr>
        <w:spacing w:after="60"/>
      </w:pPr>
      <w:r>
        <w:rPr>
          <w:b/>
          <w:color w:val="785641"/>
        </w:rPr>
        <w:t xml:space="preserve">Later — SEO &amp; acquisition  </w:t>
      </w:r>
      <w:r>
        <w:t>Use the actual recipe inventory to evaluate search opportunity in EN, ES and UK and prioritize launch content.</w:t>
      </w:r>
    </w:p>
    <w:p>
      <w:pPr>
        <w:spacing w:after="60"/>
      </w:pPr>
      <w:r>
        <w:rPr>
          <w:b/>
          <w:color w:val="785641"/>
        </w:rPr>
        <w:t xml:space="preserve">Later — Recipe data model &amp; engineering  </w:t>
      </w:r>
      <w:r>
        <w:t>Translate the validated UX into structured recipe, provenance, variation and i18n schemas before implementation.</w:t>
      </w:r>
    </w:p>
    <w:p>
      <w:pPr>
        <w:spacing w:before="40" w:after="160"/>
        <w:pBdr>
          <w:bottom w:val="single" w:sz="8" w:space="1" w:color="D8D4CE"/>
        </w:pBdr>
      </w:pPr>
    </w:p>
    <w:p>
      <w:pPr>
        <w:pStyle w:val="Heading2"/>
      </w:pPr>
      <w:r>
        <w:t>Source basis</w:t>
      </w:r>
    </w:p>
    <w:p>
      <w:pPr>
        <w:pStyle w:val="Small"/>
      </w:pPr>
      <w:r>
        <w:t>This document consolidates decisions from Chat 00 using three project sources: Product &amp; Engineering Brief v1; “Сучасні recipe websites і digital food products у 2026 році” deep research; and recipe-inventory.xlsx (updated 6 September 2026). It intentionally does not resolve open identity or UX decisions that have not yet been discussed.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Canonical strategy baseline · 6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GLUTEN-FREE BAKING  ·  BRAND STRATEGY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78564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22222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k">
    <w:name w:val="Deck"/>
    <w:pPr>
      <w:spacing w:after="280"/>
    </w:pPr>
    <w:rPr>
      <w:rFonts w:ascii="Arial" w:hAnsi="Arial" w:eastAsia="Arial"/>
      <w:color w:val="5C5C5C"/>
      <w:sz w:val="24"/>
    </w:rPr>
  </w:style>
  <w:style w:type="paragraph" w:customStyle="1" w:styleId="Small">
    <w:name w:val="Small"/>
    <w:pPr>
      <w:spacing w:after="80"/>
    </w:pPr>
    <w:rPr>
      <w:rFonts w:ascii="Arial" w:hAnsi="Arial" w:eastAsia="Arial"/>
      <w:color w:val="5C5C5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Gluten-Free Baking — Brand Strategy v2</dc:title>
  <dc:subject>Canonical brand strategy baseline</dc:subject>
  <dc:creator>Gluten-Free Baking project</dc:creator>
  <cp:keywords>gluten-free baking, brand strategy, product positioning, recipe trust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