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«Национальный исследовательский университет ИТМО»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  <w:u w:val="none"/>
        </w:rPr>
        <w:t>Факультет программной инженерии и компьютерной техники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  <w:u w:val="none"/>
        </w:rPr>
        <w:t>Лабораторная работа №4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36"/>
          <w:u w:val="none"/>
        </w:rPr>
        <w:t>Машины опорных векторов в задаче определения P300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Группа: P3324</w:t>
      </w: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Выполнил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: Здор Матвей Максимович</w:t>
      </w:r>
    </w:p>
    <w:p>
      <w:pPr>
        <w:spacing w:line="360" w:lineRule="auto" w:before="0" w:after="0"/>
        <w:ind w:left="5102"/>
        <w:jc w:val="left"/>
      </w:pP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Проверила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:</w:t>
      </w: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Солодкая Мария Александровна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pPr w:vertAnchor="margin" w:horzAnchor="margin" w:tblpYSpec="bottom" w:tblpXSpec="center" w:leftFromText="0" w:rightFromText="0" w:topFromText="0" w:bottomFromText="0"/>
        <w:tblOverlap w:val="nev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1"/>
      </w:tblGrid>
      <w:tr>
        <w:tc>
          <w:tcPr>
            <w:tcW w:type="dxa" w:w="9071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Санкт-Петербург</w:t>
            </w:r>
          </w:p>
        </w:tc>
      </w:tr>
      <w:tr>
        <w:tc>
          <w:tcPr>
            <w:tcW w:type="dxa" w:w="9071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2026</w:t>
            </w:r>
          </w:p>
        </w:tc>
      </w:tr>
    </w:tbl>
    <w:p>
      <w:pPr>
        <w:sectPr>
          <w:footerReference w:type="default" r:id="rId9"/>
          <w:footerReference w:type="first" r:id="rId10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>
      <w:pPr>
        <w:spacing w:line="360" w:lineRule="auto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ОГЛАВЛЕНИЕ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fldChar w:fldCharType="begin"/>
        <w:instrText xml:space="preserve"> TOC \o "1-3" \h \z \u </w:instrText>
        <w:fldChar w:fldCharType="separate"/>
        <w:r>
          <w:t>Оглавление будет сформировано автоматически при обновлении поля (ПКМ → «Обновить поле»)</w:t>
        </w:r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Цель работы освоить машины опорных векторов на задаче определения потенциала P300 в данных ЭЭГ. Реализовать линейный SVM с нуля, обучить его на нескольких испытуемых и оценить качество на тестовой выборке.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Источник данных: MOABB, датасет BNCI2014-009, классическая P300-парадигма (speller). 10 испытуемых, 16 ЭЭГ-каналов, частота 256 Гц. В работе берутся три испытуемых (1, 2, 3) для компромисса между объёмом данных и временем загрузки.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Задачи работы: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Проанализировать данные, выделить эпохи и обосновать набор признаков.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Обучить SVM в задаче Target vs NonTarget, обосновать выбор типа машины и ядра.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Посчитать accuracy, precision, recall и F1.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Построить ROC-кривую и AUC.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ВЫПОЛНЕНИЕ РАБОТЫ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Описание данных и извлечение эпох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MOABB через парадигму P300 сам выполняет предобработку сигнала: полосовая фильтрация 1-20 Гц, нарезка на эпохи длиной 0-800 мс после стимула, понижение частоты дискретизации до 128 Гц. Фильтр оставляет полосу, в которой реально живёт P300 (медленная волна), и отрезает дрейф снизу и сетевую наводку сверху. Понижение частоты уменьшает количество временных отсчётов в эпохе с 206 до 103, что в два раза сокращает размерность признаков без потери информации, поскольку по теореме Найквиста 128 Гц с большим запасом покрывает полосу до 20 Гц.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После сбора по трём испытуемым получается 5184 эпохи формы (5184, 16, 103), 5184 примеров, по 16 ЭЭГ-каналов в каждом, 103 временных отсчёта. Распределение классов одинаковое у всех: 288 Target и 1440 NonTarget на испытуемого, естественный дисбаланс 1 к 5, типичный для P300-парадигмы. Стимульные каналы из эпох исключены, иначе была бы прямая утечка метки.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Метки кодируются в ±1, а не в 0/1. В hinge loss выражение y·(w·x + b) должно быть положительным при правильной классификации, и метки ±1 это обеспечивают: если Target (+1) предсказан как Target, произведение положительно; если NonTarget (-1) предсказан как NonTarget, произведение тоже положительно (минус на минус).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13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1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1 — Усреднённый отклик ЭЭГ, среднее по всем каналам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На усреднённой развёртке Target виден характерный положительный пик в 300-500 мс после стимула, это и есть потенциал P300. У NonTarget колебания около нуля. Усреднение по нескольким сотням эпох гасит случайный шум и проявляет систематическую разницу между классами.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97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9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2 — Поканальная развёртка усреднённого отклика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Поканальная картина показывает, где P300 особенно ярко выражен: теменные каналы Pz, Cz, CPz, P3, P4. Это согласуется с нейрофизиологией, P300 как раз генерируется в теменной области коры. В отдельных эпохах пик утоплен в шуме, так что простой порог по амплитуде не сработает, нужен классификатор.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Извлечение признаков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Одна эпоха это матрица 16 × 103 = 1648 чисел. Подавать всё в SVM можно, но это перебор: соседние отсчёты сильно скоррелированы, признаков получится больше, чем целевых примеров, начнётся переобучение. Рассматривались три варианта: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Развёртка матрицы в плоский вектор, 1648 признаков. Слишком много, шумно.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Усреднение в нескольких временных окнах по каждому каналу. Параметризуется числом окон.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Только окно вокруг P300 (250-500 мс). Минимум информации, рискуем потерять полезные особенности до и после пика.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Выбран второй вариант: 6 равных временных окон по 130 мс. Получается 16 каналов × 6 окон = 96 признаков на эпоху. Это компромисс: форма волны грубо сохраняется, шум уже подавлен усреднением, признаков получается умеренное количество. По всему датасету матрица признаков имеет форму (5184, 96).</w:t>
      </w:r>
    </w:p>
    <w:p>
      <w:pPr>
        <w:tabs>
          <w:tab w:pos="4819" w:val="center"/>
          <w:tab w:pos="9638" w:val="right"/>
        </w:tabs>
        <w:spacing w:line="360" w:lineRule="auto" w:before="120" w:after="120"/>
        <w:ind w:firstLine="0" w:left="0"/>
        <w:jc w:val="left"/>
      </w:pPr>
      <w:r>
        <w:tab/>
      </w:r>
      <m:oMath>
        <m:sSubSup>
          <m:e>
            <m:r>
              <m:t xml:space="preserve">x</m:t>
            </m:r>
          </m:e>
          <m:sub>
            <m:r>
              <m:t xml:space="preserve">j</m:t>
            </m:r>
          </m:sub>
          <m:sup>
            <m:r>
              <m:t xml:space="preserve">′</m:t>
            </m:r>
          </m:sup>
        </m:sSubSup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x</m:t>
                </m:r>
              </m:e>
              <m:sub>
                <m:r>
                  <m:t xml:space="preserve">j</m:t>
                </m:r>
              </m:sub>
            </m:sSub>
            <m:r>
              <m:rPr>
                <m:sty m:val="p"/>
              </m:rPr>
              <m:t xml:space="preserve">−</m:t>
            </m:r>
            <m:sSub>
              <m:e>
                <m:r>
                  <m:t xml:space="preserve">μ</m:t>
                </m:r>
              </m:e>
              <m:sub>
                <m:r>
                  <m:t xml:space="preserve">j</m:t>
                </m:r>
              </m:sub>
            </m:sSub>
          </m:num>
          <m:den>
            <m:sSub>
              <m:e>
                <m:r>
                  <m:t xml:space="preserve">σ</m:t>
                </m:r>
              </m:e>
              <m:sub>
                <m:r>
                  <m:t xml:space="preserve">j</m:t>
                </m:r>
              </m:sub>
            </m:sSub>
          </m:den>
        </m:f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(1)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После извлечения признаки нормируются по формуле (1): из каждого значения вычитается среднее по этому признаку и делится на стандартное отклонение. SVM чувствителен к масштабу: штрафной член ||w||² не различает признаки по природе, а только по величине, поэтому без нормализации признак с большим разбросом перетянул бы на себя всю норму вектора весов. Среднее μ и стандартное отклонение σ вычисляются только на обучающей выборке, иначе статистика теста подсмотрелась бы при подгонке модели.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Разбиение на train и test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Применяется стратифицированное случайное разбиение 80/20: индексы Target и NonTarget перемешиваются отдельно, в test отбирается по 20% от каждого класса. Стратификация гарантирует, что в train и в test дисбаланс классов одинаковый, как в исходных данных (1 к 5). В train попадает 4148 эпох (692 Target, 3456 NonTarget), в test 1036 эпох (172 Target, 864 NonTarget).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Линейный SVM с мягким зазором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SVM ищет в пространстве признаков гиперплоскость w·x + b = 0, которая разделяет два класса. Из всех возможных разделяющих гиперплоскостей выбирается та, у которой расстояние до ближайших точек обоих классов максимально. Эти ближайшие точки называются опорными векторами.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Для зашумлённых данных идеальное разделение недостижимо, поэтому используется soft-margin вариант: точкам разрешено нарушать зазор, но за это начисляется штраф через hinge loss. Целевая функция:</w:t>
      </w:r>
    </w:p>
    <w:p>
      <w:pPr>
        <w:tabs>
          <w:tab w:pos="4819" w:val="center"/>
          <w:tab w:pos="9638" w:val="right"/>
        </w:tabs>
        <w:spacing w:line="360" w:lineRule="auto" w:before="120" w:after="120"/>
        <w:ind w:firstLine="0" w:left="0"/>
        <w:jc w:val="left"/>
      </w:pPr>
      <w:r>
        <w:tab/>
      </w:r>
      <m:oMath>
        <m:r>
          <m:t xml:space="preserve">L</m:t>
        </m:r>
        <m:r>
          <m:rPr>
            <m:sty m:val="p"/>
          </m:rPr>
          <m:t xml:space="preserve">(</m:t>
        </m:r>
        <m:r>
          <m:t xml:space="preserve">w</m:t>
        </m:r>
        <m:r>
          <m:rPr>
            <m:sty m:val="p"/>
          </m:rPr>
          <m:t xml:space="preserve">,</m:t>
        </m:r>
        <m:r>
          <m:t xml:space="preserve">b</m:t>
        </m:r>
        <m:r>
          <m:rPr>
            <m:sty m:val="p"/>
          </m:rPr>
          <m:t xml:space="preserve">)</m:t>
        </m:r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  <m:r>
              <m:t xml:space="preserve">C</m:t>
            </m:r>
          </m:den>
        </m:f>
        <m:r>
          <m:rPr>
            <m:sty m:val="p"/>
          </m:rPr>
          <m:t xml:space="preserve">‖</m:t>
        </m:r>
        <m:r>
          <m:t xml:space="preserve">w</m:t>
        </m:r>
        <m:sSup>
          <m:e>
            <m:r>
              <m:rPr>
                <m:sty m:val="p"/>
              </m:rPr>
              <m:t xml:space="preserve">‖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+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t xml:space="preserve">n</m:t>
            </m:r>
          </m:den>
        </m:f>
        <m:nary>
          <m:naryPr>
            <m:chr m:val="∑"/>
            <m:limLoc m:val="undOvr"/>
          </m:naryPr>
          <m:sub>
            <m:r>
              <m:t xml:space="preserve">i</m:t>
            </m:r>
            <m:r>
              <m:rPr>
                <m:sty m:val="p"/>
              </m:rPr>
              <m:t xml:space="preserve">=</m:t>
            </m:r>
            <m:r>
              <m:rPr>
                <m:sty m:val="p"/>
              </m:rPr>
              <m:t xml:space="preserve">1</m:t>
            </m:r>
          </m:sub>
          <m:sup>
            <m:r>
              <m:t xml:space="preserve">n</m:t>
            </m:r>
          </m:sup>
          <m:e>
            <m:r>
              <m:rPr>
                <m:sty m:val="p"/>
              </m:rPr>
              <m:t xml:space="preserve">max</m:t>
            </m:r>
            <m:r>
              <m:rPr>
                <m:sty m:val="p"/>
              </m:rPr>
              <m:t xml:space="preserve"> </m:t>
            </m:r>
            <m:r>
              <m:rPr>
                <m:sty m:val="p"/>
              </m:rPr>
              <m:t xml:space="preserve">(</m:t>
            </m:r>
            <m:r>
              <m:rPr>
                <m:sty m:val="p"/>
              </m:rPr>
              <m:t xml:space="preserve">0</m:t>
            </m:r>
            <m:r>
              <m:rPr>
                <m:sty m:val="p"/>
              </m:rPr>
              <m:t xml:space="preserve">,</m:t>
            </m:r>
            <m:r>
              <m:rPr>
                <m:sty m:val="p"/>
              </m:rPr>
              <m:t xml:space="preserve"> </m:t>
            </m:r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−</m:t>
            </m:r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(</m:t>
            </m:r>
            <m:r>
              <m:t xml:space="preserve">w</m:t>
            </m:r>
            <m:r>
              <m:rPr>
                <m:sty m:val="p"/>
              </m:rPr>
              <m:t xml:space="preserve">·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+</m:t>
            </m:r>
            <m:r>
              <m:t xml:space="preserve">b</m:t>
            </m:r>
            <m:r>
              <m:rPr>
                <m:sty m:val="p"/>
              </m:rPr>
              <m:t xml:space="preserve">)</m:t>
            </m:r>
            <m:r>
              <m:rPr>
                <m:sty m:val="p"/>
              </m:rPr>
              <m:t xml:space="preserve">)</m:t>
            </m:r>
          </m:e>
        </m:nary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(2)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Формула (2). Первое слагаемое регуляризация, ограничивает рост ||w|| и тем самым расширяет зазор (ширина зазора равна 2/||w||). Второе слагаемое среднее hinge loss по обучающим примерам. Параметр C задаёт баланс: большое C ослабляет регуляризацию и заставляет SVM тщательнее подгонять границу под каждый объект (риск переобучения), маленькое C усиливает регуляризацию и расширяет зазор за счёт того, что часть точек попадает внутрь зазора или на чужую сторону.</w:t>
      </w:r>
    </w:p>
    <w:p>
      <w:pPr>
        <w:tabs>
          <w:tab w:pos="4819" w:val="center"/>
          <w:tab w:pos="9638" w:val="right"/>
        </w:tabs>
        <w:spacing w:line="360" w:lineRule="auto" w:before="120" w:after="120"/>
        <w:ind w:firstLine="0" w:left="0"/>
        <w:jc w:val="left"/>
      </w:pPr>
      <w:r>
        <w:tab/>
      </w:r>
      <m:oMath>
        <m:sSub>
          <m:e>
            <m:r>
              <m:t xml:space="preserve">m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(</m:t>
        </m:r>
        <m:r>
          <m:t xml:space="preserve">w</m:t>
        </m:r>
        <m:r>
          <m:rPr>
            <m:sty m:val="p"/>
          </m:rPr>
          <m:t xml:space="preserve">·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+</m:t>
        </m:r>
        <m:r>
          <m:t xml:space="preserve">b</m:t>
        </m:r>
        <m:r>
          <m:rPr>
            <m:sty m:val="p"/>
          </m:rPr>
          <m:t xml:space="preserve">)</m:t>
        </m:r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(3)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Величина (3) называется margin отдельной точки. Положительный margin означает правильную классификацию, отрицательный, ошибку. Точки с margin ≥ 1 вообще не вносят вклад в hinge loss и не влияют на обучение. Точки с margin &lt; 1 называются активными: только они тянут границу. После сходимости активные точки и есть опорные векторы классификатора.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Обоснование выбора типа и ядра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Выбор типа машины. Soft-margin SVM для бинарной классификации. Hard-margin вариант требует идеальной разделимости данных, что для ЭЭГ невыполнимо: классы значительно перекрываются, никакая гиперплоскость не разделит их без ошибок. Soft-margin даёт рычаг управления через параметр C и работает на реальных шумных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Выбор ядра. Линейное. Признаков 96, обучающих примеров около 4150. При такой размерности признакового пространства линейная модель уже достаточно гибкая, у неё 97 параметров (96 весов + смещение), которыми задаётся форма границы. Литература по P300 (LDA, sLDA, линейный SVM в обзорах Lotte и др.) показывает, что для ERP-сигнала линейные методы работают сравнимо с нелинейными. Нелинейные ядра (RBF, полиномиальное) в этой задаче дают малый прирост, при этом требуют решать двойственную задачу через множители Лагранжа и хранить матрицу ядра размером N×N (для 4148 примеров это около 17 миллионов чисел), что неудобно для самописной реализации. Линейный SVM учится в прямой (primal) формулировке: оптимизируем w и b напрямую градиентным спуском, никакой матрицы ядра не требуется.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Двойственная формулировка SVM через множители Лагранжа нужна именно для kernel trick (применения нелинейных ядер без явного построения признаков). Для линейного ядра двойственная задача ничего полезного не даёт, поэтому решаем прямую.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Реализация и обучение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SVM реализован классом LinearSVM на чистом numpy без использования sklearn. Обучение методом градиентного спуска по полному батчу. На каждой итерации:</w:t>
      </w:r>
    </w:p>
    <w:p>
      <w:pPr>
        <w:spacing w:line="360" w:lineRule="auto" w:after="0"/>
        <w:numPr>
          <w:ilvl w:val="0"/>
          <w:numId w:val="102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Считается margin для всех обучающих точек.</w:t>
      </w:r>
    </w:p>
    <w:p>
      <w:pPr>
        <w:spacing w:line="360" w:lineRule="auto" w:after="0"/>
        <w:numPr>
          <w:ilvl w:val="0"/>
          <w:numId w:val="102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Выделяются активные точки (margin &lt; 1), только они дают вклад в hinge loss.</w:t>
      </w:r>
    </w:p>
    <w:p>
      <w:pPr>
        <w:spacing w:line="360" w:lineRule="auto" w:after="0"/>
        <w:numPr>
          <w:ilvl w:val="0"/>
          <w:numId w:val="102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Считается средний градиент функции потерь по w и по b.</w:t>
      </w:r>
    </w:p>
    <w:p>
      <w:pPr>
        <w:spacing w:line="360" w:lineRule="auto" w:after="0"/>
        <w:numPr>
          <w:ilvl w:val="0"/>
          <w:numId w:val="102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Веса обновляются: w ← w - lr·grad_w, b ← b - lr·grad_b.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Для борьбы с дисбалансом классов используется sample_weight: вес Target равен N/(2·N_pos), вес NonTarget равен N/(2·N_neg). Без поправки SVM игнорирует миноритарный класс, поскольку слагаемых hinge loss для NonTarget просто больше.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Параметр C подобран 3-фолдовой стратифицированной кросс-валидацией на train. Главная метрика подбора F1 на положительном классе, поскольку accuracy при дисбалансе 1 к 5 малоинформативна (тривиальный классификатор «всегда NonTarget» даёт 0,83).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1 — Подбор параметра C по кросс-валидации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C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CV F1</w:t>
            </w:r>
          </w:p>
        </w:tc>
      </w:tr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0,01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0,146</w:t>
            </w:r>
          </w:p>
        </w:tc>
      </w:tr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0,1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0,366</w:t>
            </w:r>
          </w:p>
        </w:tc>
      </w:tr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0,446</w:t>
            </w:r>
          </w:p>
        </w:tc>
      </w:tr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10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0,518</w:t>
            </w:r>
          </w:p>
        </w:tc>
      </w:tr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100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0,529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Лучший C = 100. Сдвиг оптимума в сторону больших C говорит о том, что данные сильно перекрываются и расширять зазор регуляризацией невыгодно: лучше дать модели поработать над тем, что есть, чем зажимать её слабым ||w||. Финальная модель обучается на всём train с этим C, число эпох 300 (с запасом до выхода loss на плато).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64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6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3 — Кривая обучения SVM, hinge + регуляризация по эпохам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Loss монотонно падает в первые 50-70 эпох, затем выходит на плато около 0,84. Это типичное поведение градиентного спуска на выпуклой функции потерь SVM: глобальный минимум один, переобучения от слишком большого числа эпох не возникает.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Опорные векторы и ширина зазора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После обучения опорные векторы определяются как точки с margin ≤ 1. Их 2483 из 4148 (59,9%): 403 из 692 Target (58,2%) и 2080 из 3456 NonTarget (60,2%). Ширина зазора 2/||w|| = 1,29.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Высокая доля опорных векторов (около 60%) подтверждает, что классы существенно перекрываются. Если бы данные были хорошо разделимы, доля опорных векторов составляла бы единицы процентов. На зашумлённой ЭЭГ это ожидаемая картина: большинство одиночных эпох попадает либо в зазор, либо на чужую сторону, и SVM выбирает компромиссное положение границы.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Метрики качества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На тестовой выборке (1036 эпох с естественным дисбалансом 1 к 5) считаются стандартные метрики бинарной классификации по матрице ошибок.</w:t>
      </w:r>
    </w:p>
    <w:p>
      <w:pPr>
        <w:tabs>
          <w:tab w:pos="4819" w:val="center"/>
          <w:tab w:pos="9638" w:val="right"/>
        </w:tabs>
        <w:spacing w:line="360" w:lineRule="auto" w:before="120" w:after="120"/>
        <w:ind w:firstLine="0" w:left="0"/>
        <w:jc w:val="left"/>
      </w:pPr>
      <w:r>
        <w:tab/>
      </w:r>
      <m:oMath>
        <m:r>
          <m:rPr>
            <m:sty m:val="p"/>
          </m:rPr>
          <m:t xml:space="preserve">Accuracy</m:t>
        </m:r>
        <m:r>
          <m:rPr>
            <m:sty m:val="p"/>
          </m:rPr>
          <m:t xml:space="preserve">=</m:t>
        </m:r>
        <m:f>
          <m:num>
            <m:r>
              <m:t xml:space="preserve">T</m:t>
            </m:r>
            <m:r>
              <m:t xml:space="preserve">P</m:t>
            </m:r>
            <m:r>
              <m:rPr>
                <m:sty m:val="p"/>
              </m:rPr>
              <m:t xml:space="preserve">+</m:t>
            </m:r>
            <m:r>
              <m:t xml:space="preserve">T</m:t>
            </m:r>
            <m:r>
              <m:t xml:space="preserve">N</m:t>
            </m:r>
          </m:num>
          <m:den>
            <m:r>
              <m:t xml:space="preserve">T</m:t>
            </m:r>
            <m:r>
              <m:t xml:space="preserve">P</m:t>
            </m:r>
            <m:r>
              <m:rPr>
                <m:sty m:val="p"/>
              </m:rPr>
              <m:t xml:space="preserve">+</m:t>
            </m:r>
            <m:r>
              <m:t xml:space="preserve">T</m:t>
            </m:r>
            <m:r>
              <m:t xml:space="preserve">N</m:t>
            </m:r>
            <m:r>
              <m:rPr>
                <m:sty m:val="p"/>
              </m:rPr>
              <m:t xml:space="preserve">+</m:t>
            </m:r>
            <m:r>
              <m:t xml:space="preserve">F</m:t>
            </m:r>
            <m:r>
              <m:t xml:space="preserve">P</m:t>
            </m:r>
            <m:r>
              <m:rPr>
                <m:sty m:val="p"/>
              </m:rPr>
              <m:t xml:space="preserve">+</m:t>
            </m:r>
            <m:r>
              <m:t xml:space="preserve">F</m:t>
            </m:r>
            <m:r>
              <m:t xml:space="preserve">N</m:t>
            </m:r>
          </m:den>
        </m:f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(4)</w:t>
      </w:r>
    </w:p>
    <w:p>
      <w:pPr>
        <w:tabs>
          <w:tab w:pos="4819" w:val="center"/>
          <w:tab w:pos="9638" w:val="right"/>
        </w:tabs>
        <w:spacing w:line="360" w:lineRule="auto" w:before="120" w:after="120"/>
        <w:ind w:firstLine="0" w:left="0"/>
        <w:jc w:val="left"/>
      </w:pPr>
      <w:r>
        <w:tab/>
      </w:r>
      <m:oMath>
        <m:r>
          <m:rPr>
            <m:sty m:val="p"/>
          </m:rPr>
          <m:t xml:space="preserve">Precision</m:t>
        </m:r>
        <m:r>
          <m:rPr>
            <m:sty m:val="p"/>
          </m:rPr>
          <m:t xml:space="preserve">=</m:t>
        </m:r>
        <m:f>
          <m:num>
            <m:r>
              <m:t xml:space="preserve">T</m:t>
            </m:r>
            <m:r>
              <m:t xml:space="preserve">P</m:t>
            </m:r>
          </m:num>
          <m:den>
            <m:r>
              <m:t xml:space="preserve">T</m:t>
            </m:r>
            <m:r>
              <m:t xml:space="preserve">P</m:t>
            </m:r>
            <m:r>
              <m:rPr>
                <m:sty m:val="p"/>
              </m:rPr>
              <m:t xml:space="preserve">+</m:t>
            </m:r>
            <m:r>
              <m:t xml:space="preserve">F</m:t>
            </m:r>
            <m:r>
              <m:t xml:space="preserve">P</m:t>
            </m:r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 </m:t>
        </m:r>
        <m:r>
          <m:rPr>
            <m:sty m:val="p"/>
          </m:rPr>
          <m:t xml:space="preserve">Recall</m:t>
        </m:r>
        <m:r>
          <m:rPr>
            <m:sty m:val="p"/>
          </m:rPr>
          <m:t xml:space="preserve">=</m:t>
        </m:r>
        <m:f>
          <m:num>
            <m:r>
              <m:t xml:space="preserve">T</m:t>
            </m:r>
            <m:r>
              <m:t xml:space="preserve">P</m:t>
            </m:r>
          </m:num>
          <m:den>
            <m:r>
              <m:t xml:space="preserve">T</m:t>
            </m:r>
            <m:r>
              <m:t xml:space="preserve">P</m:t>
            </m:r>
            <m:r>
              <m:rPr>
                <m:sty m:val="p"/>
              </m:rPr>
              <m:t xml:space="preserve">+</m:t>
            </m:r>
            <m:r>
              <m:t xml:space="preserve">F</m:t>
            </m:r>
            <m:r>
              <m:t xml:space="preserve">N</m:t>
            </m:r>
          </m:den>
        </m:f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(5)</w:t>
      </w:r>
    </w:p>
    <w:p>
      <w:pPr>
        <w:tabs>
          <w:tab w:pos="4819" w:val="center"/>
          <w:tab w:pos="9638" w:val="right"/>
        </w:tabs>
        <w:spacing w:line="360" w:lineRule="auto" w:before="120" w:after="120"/>
        <w:ind w:firstLine="0" w:left="0"/>
        <w:jc w:val="left"/>
      </w:pPr>
      <w:r>
        <w:tab/>
      </w:r>
      <m:oMath>
        <m:sSub>
          <m:e>
            <m:r>
              <m:t xml:space="preserve">F</m:t>
            </m:r>
          </m:e>
          <m:sub>
            <m:r>
              <m:rPr>
                <m:sty m:val="p"/>
              </m:rPr>
              <m:t xml:space="preserve">1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2</m:t>
            </m:r>
            <m:r>
              <m:rPr>
                <m:sty m:val="p"/>
              </m:rPr>
              <m:t xml:space="preserve">·</m:t>
            </m:r>
            <m:r>
              <m:rPr>
                <m:sty m:val="p"/>
              </m:rPr>
              <m:t xml:space="preserve">Precision</m:t>
            </m:r>
            <m:r>
              <m:rPr>
                <m:sty m:val="p"/>
              </m:rPr>
              <m:t xml:space="preserve">·</m:t>
            </m:r>
            <m:r>
              <m:rPr>
                <m:sty m:val="p"/>
              </m:rPr>
              <m:t xml:space="preserve">Recall</m:t>
            </m:r>
          </m:num>
          <m:den>
            <m:r>
              <m:rPr>
                <m:sty m:val="p"/>
              </m:rPr>
              <m:t xml:space="preserve">Precision</m:t>
            </m:r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Recall</m:t>
            </m:r>
          </m:den>
        </m:f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(6)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Accuracy (4) при сильном дисбалансе обманчива: предсказание «всегда NonTarget» даёт уже 0,83. Поэтому ключевые метрики precision и recall (5). Precision это доля верных среди предсказанных Target, recall это доля найденных среди истинных Target. F1 (6) их гармоническое среднее, оно штрафует, если хоть одна из метрик низкая.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Confusion matrix: TN = 683, FP = 181, FN = 34, TP = 138. Из 172 истинных Target пойманы 138 (recall 0,80), пропущены 34. Из 864 NonTarget правильно отклонены 683, ложно сработали 181 (precision на Target 0,43). Перекос в сторону высокого recall и низкого precision это следствие применения class_weight='balanced': мы попросили SVM не игнорировать Target, и в обмен он стал чаще их предсказывать (в том числе ошибочно). Если требуется обратный баланс, порог решающего правила можно сдвинуть.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2 — Метрики SVM на тестовой выборке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Метрика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Accuracy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0,792</w:t>
            </w:r>
          </w:p>
        </w:tc>
      </w:tr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Precision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0,433</w:t>
            </w:r>
          </w:p>
        </w:tc>
      </w:tr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Recall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0,802</w:t>
            </w:r>
          </w:p>
        </w:tc>
      </w:tr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0,562</w:t>
            </w:r>
          </w:p>
        </w:tc>
      </w:tr>
      <w:tr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0,868</w:t>
            </w:r>
          </w:p>
        </w:tc>
      </w:tr>
    </w:tbl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30"/>
          <w:u w:val="none"/>
        </w:rPr>
        <w:t>ROC-кривая</w:t>
      </w:r>
    </w:p>
    <w:p>
      <w:pPr>
        <w:tabs>
          <w:tab w:pos="4819" w:val="center"/>
          <w:tab w:pos="9638" w:val="right"/>
        </w:tabs>
        <w:spacing w:line="360" w:lineRule="auto" w:before="120" w:after="120"/>
        <w:ind w:firstLine="0" w:left="0"/>
        <w:jc w:val="left"/>
      </w:pPr>
      <w:r>
        <w:tab/>
      </w:r>
      <m:oMath>
        <m:r>
          <m:rPr>
            <m:sty m:val="p"/>
          </m:rPr>
          <m:t xml:space="preserve">TPR</m:t>
        </m:r>
        <m:r>
          <m:rPr>
            <m:sty m:val="p"/>
          </m:rPr>
          <m:t xml:space="preserve">=</m:t>
        </m:r>
        <m:f>
          <m:num>
            <m:r>
              <m:t xml:space="preserve">T</m:t>
            </m:r>
            <m:r>
              <m:t xml:space="preserve">P</m:t>
            </m:r>
          </m:num>
          <m:den>
            <m:r>
              <m:t xml:space="preserve">T</m:t>
            </m:r>
            <m:r>
              <m:t xml:space="preserve">P</m:t>
            </m:r>
            <m:r>
              <m:rPr>
                <m:sty m:val="p"/>
              </m:rPr>
              <m:t xml:space="preserve">+</m:t>
            </m:r>
            <m:r>
              <m:t xml:space="preserve">F</m:t>
            </m:r>
            <m:r>
              <m:t xml:space="preserve">N</m:t>
            </m:r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 </m:t>
        </m:r>
        <m:r>
          <m:rPr>
            <m:sty m:val="p"/>
          </m:rPr>
          <m:t xml:space="preserve">FPR</m:t>
        </m:r>
        <m:r>
          <m:rPr>
            <m:sty m:val="p"/>
          </m:rPr>
          <m:t xml:space="preserve">=</m:t>
        </m:r>
        <m:f>
          <m:num>
            <m:r>
              <m:t xml:space="preserve">F</m:t>
            </m:r>
            <m:r>
              <m:t xml:space="preserve">P</m:t>
            </m:r>
          </m:num>
          <m:den>
            <m:r>
              <m:t xml:space="preserve">F</m:t>
            </m:r>
            <m:r>
              <m:t xml:space="preserve">P</m:t>
            </m:r>
            <m:r>
              <m:rPr>
                <m:sty m:val="p"/>
              </m:rPr>
              <m:t xml:space="preserve">+</m:t>
            </m:r>
            <m:r>
              <m:t xml:space="preserve">T</m:t>
            </m:r>
            <m:r>
              <m:t xml:space="preserve">N</m:t>
            </m:r>
          </m:den>
        </m:f>
      </m:oMath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(7)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ROC-кривая показывает зависимость TPR от FPR (7) при сдвиге порога решения. По умолчанию SVM режет по w·x + b = 0, но изменением порога можно настраивать trade-off между пропусками и ложными срабатываниями.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Построение: точки теста сортируются по убыванию decision-function (значения w·x + b), затем кумулятивно считаются TP и FP при последовательном добавлении точек. AUC, площадь под кривой, вычисляется методом трапеций и не зависит от выбора порога.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88560" cy="514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514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4 — ROC-кривая SVM на тестовой выборке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AUC = 0,868 показывает, что классификатор уверенно различает классы по своему decision-function. Это значит, что выбор порога можно гибко настраивать под нужный сценарий: для P300-спеллера обычно важнее низкий FPR (не принять нецелевой стимул за целевой), чем максимальный TPR.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ЗАКЛЮЧЕНИЕ</w:t>
      </w:r>
    </w:p>
    <w:p>
      <w:pPr>
        <w:spacing w:line="360" w:lineRule="auto" w:after="0"/>
        <w:numPr>
          <w:ilvl w:val="0"/>
          <w:numId w:val="103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Линейный SVM с soft-margin реализован с нуля на numpy: hinge loss с L2-регуляризацией, обучение полным батчем градиентного спуска. Никаких готовых ML-библиотек (sklearn, pytorch) не использовалось, MOABB применяется только для загрузки и стандартной EEG-предобработки.</w:t>
      </w:r>
    </w:p>
    <w:p>
      <w:pPr>
        <w:spacing w:line="360" w:lineRule="auto" w:after="0"/>
        <w:numPr>
          <w:ilvl w:val="0"/>
          <w:numId w:val="103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Признаки: средние амплитуды по 6 временным окнам и 16 каналам, всего 96 чисел на эпоху. Простой набор, ловящий пик P300 без обучения отдельного экстрактора.</w:t>
      </w:r>
    </w:p>
    <w:p>
      <w:pPr>
        <w:spacing w:line="360" w:lineRule="auto" w:after="0"/>
        <w:numPr>
          <w:ilvl w:val="0"/>
          <w:numId w:val="103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Тип SVM, soft-margin, ядро, линейное. Обоснование: ЭЭГ-данные сильно зашумлены, hard-margin неприменим; при размерности признаков 96 линейная модель достаточно гибкая, нелинейные ядра дают малый прирост и требуют возни с матрицей N×N. Дисбаланс классов компенсирован весами в hinge loss.</w:t>
      </w:r>
    </w:p>
    <w:p>
      <w:pPr>
        <w:spacing w:line="360" w:lineRule="auto" w:after="0"/>
        <w:numPr>
          <w:ilvl w:val="0"/>
          <w:numId w:val="103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Параметр C = 100 подобран кросс-валидацией. После обучения доля опорных векторов около 60%, ширина зазора 2/||w|| = 1,29, что подтверждает значительное перекрытие классов в признаковом пространстве.</w:t>
      </w:r>
    </w:p>
    <w:p>
      <w:pPr>
        <w:spacing w:line="360" w:lineRule="auto" w:after="0"/>
        <w:numPr>
          <w:ilvl w:val="0"/>
          <w:numId w:val="103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На тесте получены: Accuracy = 0,792, Precision = 0,433, Recall = 0,802, F1 = 0,562, AUC = 0,868. Это нормальный результат для P300 без специализированных методов (xDawn, риманова геометрия). AUC заметно выше 0,5 показывает, что классификатор реально различает классы, и порог решающего правила можно подстраивать под конкретный сценарий применения.</w:t>
      </w:r>
    </w:p>
    <w:sectPr w:rsidR="00FC693F" w:rsidRPr="0006063C" w:rsidSect="00034616">
      <w:footerReference w:type="default" r:id="rId11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7"/>
    <w:lvlOverride w:ilvl="0">
      <w:startOverride w:val="1"/>
    </w:lvlOverride>
  </w:num>
  <w:num w:numId="101">
    <w:abstractNumId w:val="7"/>
    <w:lvlOverride w:ilvl="0">
      <w:startOverride w:val="1"/>
    </w:lvlOverride>
  </w:num>
  <w:num w:numId="102">
    <w:abstractNumId w:val="7"/>
    <w:lvlOverride w:ilvl="0">
      <w:startOverride w:val="1"/>
    </w:lvlOverride>
  </w:num>
  <w:num w:numId="10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24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