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tabs>
          <w:tab w:val="left" w:pos="2256"/>
          <w:tab w:val="right" w:pos="9355"/>
        </w:tabs>
        <w:overflowPunct w:val="0"/>
        <w:autoSpaceDE w:val="0"/>
        <w:autoSpaceDN w:val="0"/>
        <w:adjustRightInd w:val="0"/>
        <w:spacing w:before="240" w:after="480" w:line="240" w:lineRule="auto"/>
        <w:rPr>
          <w:rFonts w:ascii="Times New Roman" w:hAnsi="Times New Roman"/>
          <w:b/>
          <w:noProof/>
          <w:sz w:val="24"/>
          <w:szCs w:val="24"/>
          <w:lang w:val="en-US" w:eastAsia="ru-RU"/>
        </w:rPr>
      </w:pPr>
      <w:r>
        <w:rPr>
          <w:rFonts w:ascii="Times New Roman" w:hAnsi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3263265</wp:posOffset>
                </wp:positionH>
                <wp:positionV relativeFrom="paragraph">
                  <wp:posOffset>62230</wp:posOffset>
                </wp:positionV>
                <wp:extent cx="2717800" cy="769620"/>
                <wp:effectExtent l="0" t="0" r="0" b="0"/>
                <wp:wrapNone/>
                <wp:docPr id="3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7800" cy="769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pPr>
                              <w:jc w:val="right"/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  <w:t>Председателю конкурсной комиссии ТОО «Норс Каспиан Ойл Девелопмент»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256.95pt;margin-top:4.9pt;width:214pt;height:60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mZaJAIAAPoDAAAOAAAAZHJzL2Uyb0RvYy54bWysU0uOEzEQ3SNxB8t70p2Qz6SVzmiYYRDS&#10;8JEGDuC43WkL22VsJ91hN3uuwB1YsGDHFTI3ouzOZCLYIXph2V2uV/VePS/OO63IVjgvwZR0OMgp&#10;EYZDJc26pB8/XD87o8QHZiqmwIiS7oSn58unTxatLcQIGlCVcARBjC9aW9ImBFtkmeeN0MwPwAqD&#10;wRqcZgGPbp1VjrWIrlU2yvNp1oKrrAMuvMe/V32QLhN+XQse3tW1F4GokmJvIa0urau4ZssFK9aO&#10;2UbyQxvsH7rQTBoseoS6YoGRjZN/QWnJHXiow4CDzqCuJReJA7IZ5n+wuW2YFYkLiuPtUSb//2D5&#10;2+17R2RV0uf5jBLDNA5p/23/ff9j/2v/8/7u/isZRZVa6wu8fGvxeuheQIfTToy9vQH+yRMDlw0z&#10;a3HhHLSNYBV2OYyZ2Ulqj+MjyKp9AxUWY5sACairnY4SoigE0XFau+OERBcIx5+j2XB2lmOIY2w2&#10;nU9HaYQZKx6yrfPhlQBN4qakDh2Q0Nn2xofYDSsersRiBq6lUskFypC2pPPJaJISTiJaBjSpkrqk&#10;WBy/3jaR5EtTpeTApOr3WECZA+tItKcculWHF6MUK6h2yN9Bb0Z8PLhpwH2hpEUjltR/3jAnKFGv&#10;DWo4H47H0bnpMJ7MkDFxp5HVaYQZjlAlDZT028uQ3N5zvUCta5lkeOzk0CsaLKlzeAzRwafndOvx&#10;yS5/AwAA//8DAFBLAwQUAAYACAAAACEANvRs5twAAAAJAQAADwAAAGRycy9kb3ducmV2LnhtbEyP&#10;zU7DMBCE70i8g7VI3Og6tEUkxKkQiCuI8iNxc+NtEhGvo9htwtuznOhxNKOZb8rN7Ht1pDF2gQ1k&#10;Cw2KuA6u48bA+9vT1S2omCw72wcmAz8UYVOdn5W2cGHiVzpuU6OkhGNhDbQpDQVirFvyNi7CQCze&#10;PozeJpFjg260k5T7Hq+1vkFvO5aF1g700FL9vT14Ax/P+6/PlX5pHv16mMKskX2OxlxezPd3oBLN&#10;6T8Mf/iCDpUw7cKBXVS9gXW2zCVqIJcH4uerTPROgstMA1Ylnj6ofgEAAP//AwBQSwECLQAUAAYA&#10;CAAAACEAtoM4kv4AAADhAQAAEwAAAAAAAAAAAAAAAAAAAAAAW0NvbnRlbnRfVHlwZXNdLnhtbFBL&#10;AQItABQABgAIAAAAIQA4/SH/1gAAAJQBAAALAAAAAAAAAAAAAAAAAC8BAABfcmVscy8ucmVsc1BL&#10;AQItABQABgAIAAAAIQDAymZaJAIAAPoDAAAOAAAAAAAAAAAAAAAAAC4CAABkcnMvZTJvRG9jLnht&#10;bFBLAQItABQABgAIAAAAIQA29Gzm3AAAAAkBAAAPAAAAAAAAAAAAAAAAAH4EAABkcnMvZG93bnJl&#10;di54bWxQSwUGAAAAAAQABADzAAAAhwUAAAAA&#10;" filled="f" stroked="f">
                <v:textbox>
                  <w:txbxContent>
                    <w:p>
                      <w:pPr>
                        <w:jc w:val="right"/>
                        <w:rPr>
                          <w:rFonts w:ascii="Times New Roman" w:hAnsi="Times New Roman"/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  <w:lang w:val="en-US"/>
                        </w:rPr>
                        <w:t>[TITLE_DOC_RU]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-440055</wp:posOffset>
                </wp:positionH>
                <wp:positionV relativeFrom="paragraph">
                  <wp:posOffset>69850</wp:posOffset>
                </wp:positionV>
                <wp:extent cx="2727960" cy="769620"/>
                <wp:effectExtent l="0" t="0" r="0" b="0"/>
                <wp:wrapNone/>
                <wp:docPr id="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7960" cy="769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bookmarkStart w:id="0" w:name="_GoBack"/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  <w:t>«Норс Каспиан Ойл Девелопмент» ЖШС-гі конкурстық комиссиясының төрағасына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-34.65pt;margin-top:5.5pt;width:214.8pt;height:60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SrkJAIAAP8DAAAOAAAAZHJzL2Uyb0RvYy54bWysU0tu2zAQ3RfoHQjua9mCP7FgOUiTpiiQ&#10;foC0B6ApyiJKcliStuTuuu8VeocuusguV3Bu1CHlOEa7K6oFQWo4b+a9eVycd1qRrXBeginpaDCk&#10;RBgOlTTrkn76eP3ijBIfmKmYAiNKuhOeni+fP1u0thA5NKAq4QiCGF+0tqRNCLbIMs8boZkfgBUG&#10;gzU4zQIe3TqrHGsRXassHw6nWQuusg648B7/XvVBukz4dS14eF/XXgSiSoq9hbS6tK7imi0XrFg7&#10;ZhvJD22wf+hCM2mw6BHqigVGNk7+BaUld+ChDgMOOoO6llwkDshmNPyDzW3DrEhcUBxvjzL5/wfL&#10;320/OCKrks4oMUzjiPY/9j/3v/b3+7uHbw/fSR41aq0v8Oqtxcuhewkdzjrx9fYG+GdPDFw2zKzF&#10;hXPQNoJV2OMoZmYnqT2OjyCr9i1UWIxtAiSgrnY6CoiSEETHWe2O8xFdIBx/5rN8Np9iiGNsNp1P&#10;8zTAjBWP2db58FqAJnFTUofzT+hse+ND7IYVj1diMQPXUqnkAWVIW9L5JJ+khJOIlgEtqqQu6dkw&#10;fr1pIslXpkrJgUnV77GAMgfWkWhPOXSrLomcJImKrKDaoQwOekfiC8JNA+4rJS26saT+y4Y5QYl6&#10;Y1DK+Wg8jvZNh/FkhsSJO42sTiPMcIQqaaCk316GZPme8gVKXsukxlMnh5bRZUmkw4uINj49p1tP&#10;73b5GwAA//8DAFBLAwQUAAYACAAAACEA3Uhmt90AAAAKAQAADwAAAGRycy9kb3ducmV2LnhtbEyP&#10;wU7DMBBE70j8g7WVuLV2E4jaEKdCIK4gSluJmxtvk6jxOordJvw9ywmOO/M0O1NsJteJKw6h9aRh&#10;uVAgkCpvW6o17D5f5ysQIRqypvOEGr4xwKa8vSlMbv1IH3jdxlpwCIXcaGhi7HMpQ9WgM2HheyT2&#10;Tn5wJvI51NIOZuRw18lEqUw60xJ/aEyPzw1W5+3Fadi/nb4O9+q9fnEP/egnJcmtpdZ3s+npEUTE&#10;Kf7B8Fufq0PJnY7+QjaITsM8W6eMsrHkTQykmWLhyEKaJCDLQv6fUP4AAAD//wMAUEsBAi0AFAAG&#10;AAgAAAAhALaDOJL+AAAA4QEAABMAAAAAAAAAAAAAAAAAAAAAAFtDb250ZW50X1R5cGVzXS54bWxQ&#10;SwECLQAUAAYACAAAACEAOP0h/9YAAACUAQAACwAAAAAAAAAAAAAAAAAvAQAAX3JlbHMvLnJlbHNQ&#10;SwECLQAUAAYACAAAACEAVsEq5CQCAAD/AwAADgAAAAAAAAAAAAAAAAAuAgAAZHJzL2Uyb0RvYy54&#10;bWxQSwECLQAUAAYACAAAACEA3Uhmt90AAAAKAQAADwAAAAAAAAAAAAAAAAB+BAAAZHJzL2Rvd25y&#10;ZXYueG1sUEsFBgAAAAAEAAQA8wAAAIgFAAAAAA==&#10;" filled="f" stroked="f">
                <v:textbox>
                  <w:txbxContent>
                    <w:p>
                      <w:pPr>
                        <w:rPr>
                          <w:rFonts w:ascii="Times New Roman" w:hAnsi="Times New Roman"/>
                          <w:b/>
                          <w:sz w:val="24"/>
                          <w:szCs w:val="24"/>
                          <w:lang w:val="en-US"/>
                        </w:rPr>
                      </w:pPr>
                      <w:bookmarkStart w:id="1" w:name="_GoBack"/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  <w:lang w:val="en-US"/>
                        </w:rPr>
                        <w:t>[TITLE_DOC_KZ]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b/>
          <w:noProof/>
          <w:sz w:val="24"/>
          <w:szCs w:val="24"/>
          <w:lang w:val="en-US" w:eastAsia="ru-RU"/>
        </w:rPr>
        <w:tab/>
      </w:r>
    </w:p>
    <w:p>
      <w:pPr>
        <w:tabs>
          <w:tab w:val="left" w:pos="2256"/>
          <w:tab w:val="right" w:pos="9355"/>
        </w:tabs>
        <w:overflowPunct w:val="0"/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hAnsi="Times New Roman"/>
          <w:b/>
          <w:noProof/>
          <w:sz w:val="24"/>
          <w:szCs w:val="24"/>
          <w:lang w:val="en-US" w:eastAsia="ru-RU"/>
        </w:rPr>
      </w:pPr>
    </w:p>
    <w:tbl>
      <w:tblPr>
        <w:tblStyle w:val="ab"/>
        <w:tblW w:w="0" w:type="auto"/>
        <w:tblInd w:w="-601" w:type="dxa"/>
        <w:tblLook w:val="04A0" w:firstRow="1" w:lastRow="0" w:firstColumn="1" w:lastColumn="0" w:noHBand="0" w:noVBand="1"/>
      </w:tblPr>
      <w:tblGrid>
        <w:gridCol w:w="5104"/>
        <w:gridCol w:w="4961"/>
      </w:tblGrid>
      <w:tr>
        <w:trPr>
          <w:trHeight w:val="939"/>
        </w:trPr>
        <w:tc>
          <w:tcPr>
            <w:tcW w:w="5104" w:type="dxa"/>
          </w:tcPr>
          <w:p>
            <w:pPr>
              <w:pStyle w:val="a3"/>
              <w:spacing w:before="120" w:after="120"/>
              <w:jc w:val="center"/>
              <w:rPr>
                <w:rFonts w:ascii="Times New Roman" w:hAnsi="Times New Roman"/>
                <w:b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noProof/>
                <w:sz w:val="24"/>
                <w:szCs w:val="24"/>
                <w:lang w:val="en-US"/>
              </w:rPr>
              <w:t>Келісім шарт жобасының елеулі шарттарымен келісі туралы кепілдік хат</w:t>
            </w:r>
          </w:p>
          <w:p>
            <w:pPr>
              <w:pStyle w:val="a3"/>
              <w:spacing w:before="120" w:after="120"/>
              <w:jc w:val="both"/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  <w:t>Осымен  «Атыраугеоконтроль» ЖШС-гі «Дараймола Шығыс және Дараймола Батыс кен орындарында ұңғымалардың гидродинамикалық зерттеулерін жүргізу» ашық конкурсқа қатысушы  өтіп жатқан ашық конкурс келісім шарттарының 2016.ОК-89927 № 1 лот - «Дараймола Шығыс және Дараймола Батыс кен орындарында ұңғымалардың гидродинамикалық зерттеулерін жүргізу» елеулі шарттарымен танысқанын және де келісетінін растайды</w:t>
            </w:r>
          </w:p>
        </w:tc>
        <w:tc>
          <w:tcPr>
            <w:tcW w:w="4961" w:type="dxa"/>
          </w:tcPr>
          <w:p>
            <w:pPr>
              <w:pStyle w:val="a3"/>
              <w:spacing w:before="120" w:after="120"/>
              <w:jc w:val="center"/>
              <w:rPr>
                <w:rFonts w:ascii="Times New Roman" w:hAnsi="Times New Roman"/>
                <w:b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noProof/>
                <w:sz w:val="24"/>
                <w:szCs w:val="24"/>
                <w:lang w:val="en-US"/>
              </w:rPr>
              <w:t>Гарантийное письмо о согласии потенциального поставщика с существенными условиями проекта договора</w:t>
            </w:r>
          </w:p>
          <w:p>
            <w:pPr>
              <w:pStyle w:val="a3"/>
              <w:spacing w:before="120" w:after="120"/>
              <w:jc w:val="both"/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  <w:t>Настоящим ТОО «Атыраугеоконтроль», участник открытого конкурса «Проведение гидродинамических исследований скважин на месторождении Дараймола Восточная и Дараймола Западная» подтверждает, что ознакомлен и согласен с существенными условиями договора проводимого открытого конкурса 2016.ОК-89927 лот №1 - «Проведение гидродинамических исследований скважин на месторождении Дараймола Восточная и Дараймола Западная»</w:t>
            </w:r>
          </w:p>
        </w:tc>
      </w:tr>
      <w:tr>
        <w:tc>
          <w:tcPr>
            <w:tcW w:w="5104" w:type="dxa"/>
          </w:tcPr>
          <w:p>
            <w:pPr>
              <w:pStyle w:val="a3"/>
              <w:jc w:val="both"/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</w:pPr>
          </w:p>
          <w:p>
            <w:pPr>
              <w:pStyle w:val="a3"/>
              <w:rPr>
                <w:rFonts w:ascii="Times New Roman" w:hAnsi="Times New Roman"/>
                <w:b/>
                <w:noProof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noProof/>
                <w:sz w:val="24"/>
                <w:szCs w:val="24"/>
                <w:lang w:val="kk-KZ"/>
              </w:rPr>
              <w:t xml:space="preserve"> «Атыраугеоконтроль» ЖШС </w:t>
            </w:r>
            <w:r>
              <w:rPr>
                <w:rFonts w:ascii="Times New Roman" w:hAnsi="Times New Roman"/>
                <w:b/>
                <w:noProof/>
                <w:sz w:val="24"/>
                <w:szCs w:val="24"/>
                <w:lang w:val="kk-KZ"/>
              </w:rPr>
              <w:br/>
              <w:t>бас директоры</w:t>
            </w:r>
          </w:p>
          <w:p>
            <w:pPr>
              <w:pStyle w:val="a3"/>
              <w:jc w:val="both"/>
              <w:rPr>
                <w:rFonts w:ascii="Times New Roman" w:hAnsi="Times New Roman"/>
                <w:b/>
                <w:noProof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noProof/>
                <w:sz w:val="26"/>
                <w:szCs w:val="26"/>
              </w:rPr>
              <w:drawing>
                <wp:anchor distT="0" distB="0" distL="114300" distR="114300" simplePos="0" relativeHeight="251665408" behindDoc="1" locked="0" layoutInCell="1" allowOverlap="1">
                  <wp:simplePos x="0" y="0"/>
                  <wp:positionH relativeFrom="column">
                    <wp:posOffset>2928620</wp:posOffset>
                  </wp:positionH>
                  <wp:positionV relativeFrom="paragraph">
                    <wp:posOffset>47625</wp:posOffset>
                  </wp:positionV>
                  <wp:extent cx="2042160" cy="1652270"/>
                  <wp:effectExtent l="0" t="0" r="0" b="5080"/>
                  <wp:wrapNone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42160" cy="1652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/>
                <w:b/>
                <w:noProof/>
                <w:sz w:val="26"/>
                <w:szCs w:val="26"/>
              </w:rPr>
              <w:drawing>
                <wp:anchor distT="0" distB="0" distL="114300" distR="114300" simplePos="0" relativeHeight="251663360" behindDoc="1" locked="0" layoutInCell="1" allowOverlap="1">
                  <wp:simplePos x="0" y="0"/>
                  <wp:positionH relativeFrom="column">
                    <wp:posOffset>-279400</wp:posOffset>
                  </wp:positionH>
                  <wp:positionV relativeFrom="paragraph">
                    <wp:posOffset>40005</wp:posOffset>
                  </wp:positionV>
                  <wp:extent cx="2042160" cy="1652270"/>
                  <wp:effectExtent l="0" t="0" r="0" b="5080"/>
                  <wp:wrapNone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42160" cy="1652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/>
                <w:b/>
                <w:noProof/>
                <w:sz w:val="24"/>
                <w:szCs w:val="24"/>
                <w:lang w:val="kk-KZ"/>
              </w:rPr>
              <w:t>Сүлейменов Ж.</w:t>
            </w:r>
          </w:p>
          <w:p>
            <w:pPr>
              <w:pStyle w:val="a3"/>
              <w:jc w:val="both"/>
              <w:rPr>
                <w:rFonts w:ascii="Times New Roman" w:hAnsi="Times New Roman"/>
                <w:b/>
                <w:noProof/>
                <w:sz w:val="24"/>
                <w:szCs w:val="24"/>
                <w:lang w:val="kk-KZ"/>
              </w:rPr>
            </w:pPr>
          </w:p>
          <w:p>
            <w:pPr>
              <w:pStyle w:val="a3"/>
              <w:jc w:val="both"/>
              <w:rPr>
                <w:rFonts w:ascii="Times New Roman" w:hAnsi="Times New Roman"/>
                <w:b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noProof/>
                <w:sz w:val="24"/>
                <w:szCs w:val="24"/>
                <w:lang w:val="en-US"/>
              </w:rPr>
              <w:t>_____________________</w:t>
            </w:r>
          </w:p>
          <w:p>
            <w:pPr>
              <w:pStyle w:val="a3"/>
              <w:jc w:val="both"/>
              <w:rPr>
                <w:rFonts w:ascii="Times New Roman" w:hAnsi="Times New Roman"/>
                <w:noProof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noProof/>
                <w:sz w:val="22"/>
                <w:szCs w:val="24"/>
                <w:lang w:val="kk-KZ"/>
              </w:rPr>
              <w:t>Қолы мен мөрі</w:t>
            </w:r>
          </w:p>
        </w:tc>
        <w:tc>
          <w:tcPr>
            <w:tcW w:w="4961" w:type="dxa"/>
          </w:tcPr>
          <w:p>
            <w:pPr>
              <w:pStyle w:val="a3"/>
              <w:jc w:val="both"/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</w:pPr>
          </w:p>
          <w:p>
            <w:pPr>
              <w:pStyle w:val="a3"/>
              <w:rPr>
                <w:rFonts w:ascii="Times New Roman" w:hAnsi="Times New Roman"/>
                <w:b/>
                <w:noProof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noProof/>
                <w:sz w:val="24"/>
                <w:szCs w:val="24"/>
                <w:lang w:val="kk-KZ"/>
              </w:rPr>
              <w:t xml:space="preserve">Генеральный директор </w:t>
            </w:r>
            <w:r>
              <w:rPr>
                <w:rFonts w:ascii="Times New Roman" w:hAnsi="Times New Roman"/>
                <w:b/>
                <w:noProof/>
                <w:sz w:val="24"/>
                <w:szCs w:val="24"/>
                <w:lang w:val="kk-KZ"/>
              </w:rPr>
              <w:br/>
              <w:t>ТОО «Атыраугеоконтроль»</w:t>
            </w:r>
          </w:p>
          <w:p>
            <w:pPr>
              <w:pStyle w:val="a3"/>
              <w:jc w:val="both"/>
              <w:rPr>
                <w:rFonts w:ascii="Times New Roman" w:hAnsi="Times New Roman"/>
                <w:b/>
                <w:noProof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noProof/>
                <w:sz w:val="24"/>
                <w:szCs w:val="24"/>
                <w:lang w:val="kk-KZ"/>
              </w:rPr>
              <w:t>Сулейменов Ж.</w:t>
            </w:r>
          </w:p>
          <w:p>
            <w:pPr>
              <w:pStyle w:val="a3"/>
              <w:jc w:val="both"/>
              <w:rPr>
                <w:rFonts w:ascii="Times New Roman" w:hAnsi="Times New Roman"/>
                <w:b/>
                <w:noProof/>
                <w:sz w:val="24"/>
                <w:szCs w:val="24"/>
                <w:lang w:val="kk-KZ"/>
              </w:rPr>
            </w:pPr>
          </w:p>
          <w:p>
            <w:pPr>
              <w:pStyle w:val="a3"/>
              <w:jc w:val="both"/>
              <w:rPr>
                <w:rFonts w:ascii="Times New Roman" w:hAnsi="Times New Roman"/>
                <w:b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noProof/>
                <w:sz w:val="24"/>
                <w:szCs w:val="24"/>
                <w:lang w:val="en-US"/>
              </w:rPr>
              <w:t>_____________________</w:t>
            </w:r>
          </w:p>
          <w:p>
            <w:pPr>
              <w:pStyle w:val="a3"/>
              <w:jc w:val="both"/>
              <w:rPr>
                <w:rFonts w:ascii="Times New Roman" w:hAnsi="Times New Roman"/>
                <w:noProof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noProof/>
                <w:sz w:val="22"/>
                <w:szCs w:val="24"/>
                <w:lang w:val="kk-KZ"/>
              </w:rPr>
              <w:t>Подпись, печать</w:t>
            </w:r>
          </w:p>
        </w:tc>
      </w:tr>
    </w:tbl>
    <w:p>
      <w:pPr>
        <w:rPr>
          <w:rFonts w:ascii="Times New Roman" w:hAnsi="Times New Roman"/>
          <w:b/>
          <w:noProof/>
          <w:sz w:val="26"/>
          <w:szCs w:val="26"/>
        </w:rPr>
      </w:pPr>
    </w:p>
    <w:sectPr>
      <w:headerReference w:type="default" r:id="rId9"/>
      <w:pgSz w:w="11906" w:h="16838"/>
      <w:pgMar w:top="4678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a4"/>
    </w:pPr>
    <w:r>
      <w:rPr>
        <w:noProof/>
        <w:lang w:eastAsia="ru-RU"/>
      </w:rPr>
      <w:pict>
        <v:group id="_x0000_s2057" style="position:absolute;margin-left:-70.9pt;margin-top:-1.8pt;width:567pt;height:181.9pt;z-index:251658240" coordorigin="283,672" coordsize="11340,3638">
          <v:group id="_x0000_s2058" editas="canvas" style="position:absolute;left:283;top:672;width:11340;height:2340" coordorigin="533,4601" coordsize="9601,2033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59" type="#_x0000_t75" style="position:absolute;left:533;top:4601;width:9601;height:2033" o:preferrelative="f">
              <v:fill o:detectmouseclick="t"/>
              <v:path o:extrusionok="t" o:connecttype="none"/>
              <o:lock v:ext="edit" text="t"/>
            </v:shape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_x0000_s2060" type="#_x0000_t136" style="position:absolute;left:1143;top:5070;width:3048;height:939" fillcolor="blue">
              <v:shadow color="#868686"/>
              <v:textpath style="font-family:&quot;Arial&quot;;font-size:20pt;font-weight:bold;font-style:italic;v-text-kern:t" trim="t" fitpath="t" string="  &#10;Жауапкершілігі шектеулі&#10;серіктестігі"/>
            </v:shape>
            <v:shape id="_x0000_s2061" type="#_x0000_t136" style="position:absolute;left:6781;top:5070;width:3202;height:939" fillcolor="blue">
              <v:shadow color="#868686"/>
              <v:textpath style="font-family:&quot;Arial&quot;;font-size:20pt;font-weight:bold;font-style:italic;v-text-kern:t" trim="t" fitpath="t" string="     &#10;Товарищество с ограниченной &#10;       ответственностью"/>
            </v:shape>
            <v:line id="_x0000_s2062" style="position:absolute" from="838,6478" to="9677,6479"/>
            <v:shape id="_x0000_s2063" type="#_x0000_t136" style="position:absolute;left:1143;top:4914;width:2965;height:312" fillcolor="navy" strokecolor="navy">
              <v:shadow color="#868686"/>
              <v:textpath style="font-family:&quot;Arial&quot;;font-weight:bold;font-style:italic;v-text-kern:t" trim="t" fitpath="t" string="&quot;АТЫРАУГЕОКОНТРОЛЬ&quot;"/>
            </v:shape>
            <v:shape id="_x0000_s2064" type="#_x0000_t136" style="position:absolute;left:6934;top:4914;width:2895;height:312" fillcolor="navy" strokecolor="navy">
              <v:shadow color="#868686"/>
              <v:textpath style="font-family:&quot;Arial&quot;;font-weight:bold;font-style:italic;v-text-kern:t" trim="t" fitpath="t" string="&quot;АТЫРАУГЕОКОНТРОЛЬ&quot;"/>
            </v:shape>
            <v:shape id="_x0000_s2065" type="#_x0000_t75" style="position:absolute;left:4191;top:4601;width:2589;height:1720">
              <v:imagedata r:id="rId1" o:title="Logo"/>
            </v:shape>
          </v:group>
          <v:shape id="_x0000_s2066" type="#_x0000_t136" style="position:absolute;left:769;top:3122;width:4008;height:1188;mso-position-horizontal-relative:text;mso-position-vertical-relative:text" o:allowoverlap="f" fillcolor="blue" strokecolor="blue">
            <v:shadow color="#868686"/>
            <v:textpath style="font-family:&quot;Arial&quot;;font-size:14pt;font-style:italic;v-text-align:left;v-text-kern:t" trim="t" fitpath="t" string="Қазақстан Республикасы&#10;Атырау облысы, Атырау қаласы 060026,&#10;Солтүстік өндірістік аймақ 29 &quot;А&quot; .  &#10;Тел. 8(7122)-306588 факс. 318042&#10;e.mail: reception@atyraugeocontrol.kz "/>
          </v:shape>
          <v:shape id="_x0000_s2067" type="#_x0000_t136" style="position:absolute;left:7141;top:3012;width:4188;height:1188;mso-position-horizontal-relative:text;mso-position-vertical-relative:text" fillcolor="blue" strokecolor="blue">
            <v:shadow color="#868686"/>
            <v:textpath style="font-family:&quot;Arial&quot;;font-size:14pt;font-style:italic;v-text-align:left;v-text-kern:t" trim="t" fitpath="t" string="Республика Казахстан &#10;Атырауская область, г.Атырау 060026,&#10;Северная промзона 29 &quot;А&quot; &#10;Тел. 8(7122)-306588, факс. 318042.&#10;e.mail: reception@atyraugeocontrol.kz "/>
          </v:shape>
        </v:group>
      </w:pict>
    </w:r>
  </w:p>
  <w:p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characterSpacingControl w:val="doNotCompress"/>
  <w:hdrShapeDefaults>
    <o:shapedefaults v:ext="edit" spidmax="206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eastAsia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header"/>
    <w:basedOn w:val="a"/>
    <w:link w:val="a5"/>
    <w:uiPriority w:val="99"/>
    <w:unhideWhenUsed/>
    <w:pPr>
      <w:tabs>
        <w:tab w:val="center" w:pos="4677"/>
        <w:tab w:val="right" w:pos="9355"/>
      </w:tabs>
      <w:spacing w:after="0" w:line="240" w:lineRule="auto"/>
    </w:pPr>
    <w:rPr>
      <w:rFonts w:eastAsiaTheme="minorHAnsi" w:cstheme="minorBidi"/>
    </w:rPr>
  </w:style>
  <w:style w:type="character" w:customStyle="1" w:styleId="a5">
    <w:name w:val="Верхний колонтитул Знак"/>
    <w:basedOn w:val="a0"/>
    <w:link w:val="a4"/>
    <w:uiPriority w:val="99"/>
  </w:style>
  <w:style w:type="paragraph" w:styleId="a6">
    <w:name w:val="footer"/>
    <w:basedOn w:val="a"/>
    <w:link w:val="a7"/>
    <w:uiPriority w:val="99"/>
    <w:unhideWhenUsed/>
    <w:pPr>
      <w:tabs>
        <w:tab w:val="center" w:pos="4677"/>
        <w:tab w:val="right" w:pos="9355"/>
      </w:tabs>
      <w:spacing w:after="0" w:line="240" w:lineRule="auto"/>
    </w:pPr>
    <w:rPr>
      <w:rFonts w:eastAsiaTheme="minorHAnsi" w:cstheme="minorBidi"/>
    </w:rPr>
  </w:style>
  <w:style w:type="character" w:customStyle="1" w:styleId="a7">
    <w:name w:val="Нижний колонтитул Знак"/>
    <w:basedOn w:val="a0"/>
    <w:link w:val="a6"/>
    <w:uiPriority w:val="99"/>
  </w:style>
  <w:style w:type="paragraph" w:styleId="a8">
    <w:name w:val="Balloon Text"/>
    <w:basedOn w:val="a"/>
    <w:link w:val="a9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Pr>
      <w:rFonts w:ascii="Tahoma" w:hAnsi="Tahoma" w:cs="Tahoma"/>
      <w:sz w:val="16"/>
      <w:szCs w:val="16"/>
    </w:rPr>
  </w:style>
  <w:style w:type="character" w:styleId="aa">
    <w:name w:val="Hyperlink"/>
    <w:rPr>
      <w:color w:val="0000FF"/>
      <w:u w:val="single"/>
    </w:rPr>
  </w:style>
  <w:style w:type="table" w:customStyle="1" w:styleId="TableNormal">
    <w:name w:val="Table Normal"/>
    <w:uiPriority w:val="2"/>
    <w:semiHidden/>
    <w:unhideWhenUsed/>
    <w:qFormat/>
    <w:pPr>
      <w:widowControl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ab">
    <w:name w:val="Table Grid"/>
    <w:basedOn w:val="a1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eastAsia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header"/>
    <w:basedOn w:val="a"/>
    <w:link w:val="a5"/>
    <w:uiPriority w:val="99"/>
    <w:unhideWhenUsed/>
    <w:pPr>
      <w:tabs>
        <w:tab w:val="center" w:pos="4677"/>
        <w:tab w:val="right" w:pos="9355"/>
      </w:tabs>
      <w:spacing w:after="0" w:line="240" w:lineRule="auto"/>
    </w:pPr>
    <w:rPr>
      <w:rFonts w:eastAsiaTheme="minorHAnsi" w:cstheme="minorBidi"/>
    </w:rPr>
  </w:style>
  <w:style w:type="character" w:customStyle="1" w:styleId="a5">
    <w:name w:val="Верхний колонтитул Знак"/>
    <w:basedOn w:val="a0"/>
    <w:link w:val="a4"/>
    <w:uiPriority w:val="99"/>
  </w:style>
  <w:style w:type="paragraph" w:styleId="a6">
    <w:name w:val="footer"/>
    <w:basedOn w:val="a"/>
    <w:link w:val="a7"/>
    <w:uiPriority w:val="99"/>
    <w:unhideWhenUsed/>
    <w:pPr>
      <w:tabs>
        <w:tab w:val="center" w:pos="4677"/>
        <w:tab w:val="right" w:pos="9355"/>
      </w:tabs>
      <w:spacing w:after="0" w:line="240" w:lineRule="auto"/>
    </w:pPr>
    <w:rPr>
      <w:rFonts w:eastAsiaTheme="minorHAnsi" w:cstheme="minorBidi"/>
    </w:rPr>
  </w:style>
  <w:style w:type="character" w:customStyle="1" w:styleId="a7">
    <w:name w:val="Нижний колонтитул Знак"/>
    <w:basedOn w:val="a0"/>
    <w:link w:val="a6"/>
    <w:uiPriority w:val="99"/>
  </w:style>
  <w:style w:type="paragraph" w:styleId="a8">
    <w:name w:val="Balloon Text"/>
    <w:basedOn w:val="a"/>
    <w:link w:val="a9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Pr>
      <w:rFonts w:ascii="Tahoma" w:hAnsi="Tahoma" w:cs="Tahoma"/>
      <w:sz w:val="16"/>
      <w:szCs w:val="16"/>
    </w:rPr>
  </w:style>
  <w:style w:type="character" w:styleId="aa">
    <w:name w:val="Hyperlink"/>
    <w:rPr>
      <w:color w:val="0000FF"/>
      <w:u w:val="single"/>
    </w:rPr>
  </w:style>
  <w:style w:type="table" w:customStyle="1" w:styleId="TableNormal">
    <w:name w:val="Table Normal"/>
    <w:uiPriority w:val="2"/>
    <w:semiHidden/>
    <w:unhideWhenUsed/>
    <w:qFormat/>
    <w:pPr>
      <w:widowControl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ab">
    <w:name w:val="Table Grid"/>
    <w:basedOn w:val="a1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752BF3-A5E3-41AD-B7F9-239ADD46C7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User</cp:lastModifiedBy>
  <cp:revision>4</cp:revision>
  <cp:lastPrinted>2013-12-20T04:59:00Z</cp:lastPrinted>
  <dcterms:created xsi:type="dcterms:W3CDTF">2016-01-19T15:08:00Z</dcterms:created>
  <dcterms:modified xsi:type="dcterms:W3CDTF">2016-01-19T15:27:00Z</dcterms:modified>
</cp:coreProperties>
</file>