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8B8D"/>
          <w:sz w:val="20"/>
          <w:szCs w:val="20"/>
        </w:rPr>
        <w:t xml:space="preserve">CARLY — GEO / LLM VISIBILITY WORKSTREAM</w:t>
      </w:r>
    </w:p>
    <w:p>
      <w:pPr>
        <w:pBdr>
          <w:bottom w:val="single" w:color="0B2545" w:sz="18" w:space="6"/>
        </w:pBdr>
        <w:spacing w:after="260"/>
      </w:pPr>
      <w:r>
        <w:rPr>
          <w:rFonts w:ascii="Calibri" w:cs="Calibri" w:eastAsia="Calibri" w:hAnsi="Calibri"/>
          <w:b/>
          <w:bCs/>
          <w:color w:val="0B2545"/>
          <w:sz w:val="40"/>
          <w:szCs w:val="40"/>
        </w:rPr>
        <w:t xml:space="preserve">REQ-10: Schema &amp; Content Optimization for Commercial Landing Pages (/lp-*)</w:t>
      </w:r>
    </w:p>
    <w:p>
      <w:pPr>
        <w:spacing w:after="160" w:line="276"/>
      </w:pPr>
      <w:r>
        <w:rPr>
          <w:rFonts w:ascii="Calibri" w:cs="Calibri" w:eastAsia="Calibri" w:hAnsi="Calibri"/>
          <w:i/>
          <w:iCs/>
          <w:color w:val="555555"/>
          <w:sz w:val="19"/>
          <w:szCs w:val="19"/>
        </w:rPr>
        <w:t xml:space="preserve">Owner: Matias  |  Status: Draft for review  |  Depends on: prior /de/lp-obd-audi schema audit (Product/Offer/AggregateRating/og:type gaps)</w:t>
      </w:r>
    </w:p>
    <w:p>
      <w:pPr>
        <w:pStyle w:val="Heading1"/>
        <w:pBdr>
          <w:bottom w:val="single" w:color="0F8B8D" w:sz="12" w:space="4"/>
        </w:pBdr>
        <w:spacing w:after="160" w:before="320"/>
      </w:pPr>
      <w:r>
        <w:rPr>
          <w:rFonts w:ascii="Calibri" w:cs="Calibri" w:eastAsia="Calibri" w:hAnsi="Calibri"/>
          <w:b/>
          <w:bCs/>
          <w:color w:val="0B2545"/>
          <w:sz w:val="30"/>
          <w:szCs w:val="30"/>
        </w:rPr>
        <w:t xml:space="preserve">1. Background</w:t>
      </w:r>
    </w:p>
    <w:p>
      <w:pPr>
        <w:spacing w:after="160" w:line="276"/>
      </w:pPr>
      <w:r>
        <w:rPr>
          <w:rFonts w:ascii="Calibri" w:cs="Calibri" w:eastAsia="Calibri" w:hAnsi="Calibri"/>
          <w:color w:val="1A1A1A"/>
          <w:sz w:val="21"/>
          <w:szCs w:val="21"/>
        </w:rPr>
        <w:t xml:space="preserve">The GEO/LLM visibility workstream (REQ-01–REQ-09) established structural schema gaps on the /de/lp-obd-audi landing page and identified a broader citation pattern: support.mycarly.com dominates ChatGPT citations while blog content drives real sessions but is rarely cited directly.</w:t>
      </w:r>
    </w:p>
    <w:p>
      <w:pPr>
        <w:spacing w:after="160" w:line="276"/>
      </w:pPr>
      <w:r>
        <w:rPr>
          <w:rFonts w:ascii="Calibri" w:cs="Calibri" w:eastAsia="Calibri" w:hAnsi="Calibri"/>
          <w:color w:val="1A1A1A"/>
          <w:sz w:val="21"/>
          <w:szCs w:val="21"/>
        </w:rPr>
        <w:t xml:space="preserve">This requirement narrows focus deliberately: unlike /obd-codes/* and /community/* (which receive meaningful AI-assisted traffic but convert at or near 0%), the /lp-* commercial landing pages are where purchases actually happen — and where AI visibility is currently almost nonexistent.</w:t>
      </w:r>
    </w:p>
    <w:p>
      <w:pPr>
        <w:pStyle w:val="Heading1"/>
        <w:pBdr>
          <w:bottom w:val="single" w:color="0F8B8D" w:sz="12" w:space="4"/>
        </w:pBdr>
        <w:spacing w:after="160" w:before="320"/>
      </w:pPr>
      <w:r>
        <w:rPr>
          <w:rFonts w:ascii="Calibri" w:cs="Calibri" w:eastAsia="Calibri" w:hAnsi="Calibri"/>
          <w:b/>
          <w:bCs/>
          <w:color w:val="0B2545"/>
          <w:sz w:val="30"/>
          <w:szCs w:val="30"/>
        </w:rPr>
        <w:t xml:space="preserve">2. Data — 8-week baseline (GA4, account 268355160)</w:t>
      </w:r>
    </w:p>
    <w:p>
      <w:pPr>
        <w:spacing w:after="160" w:line="276"/>
      </w:pPr>
      <w:r>
        <w:rPr>
          <w:rFonts w:ascii="Calibri" w:cs="Calibri" w:eastAsia="Calibri" w:hAnsi="Calibri"/>
          <w:color w:val="1A1A1A"/>
          <w:sz w:val="21"/>
          <w:szCs w:val="21"/>
        </w:rPr>
        <w:t xml:space="preserve">Across all /lp-* pages: 57,034 sessions, 1,231 conversions, 2.16% blended CVR. Of that traffic, only 35 sessions (0.06%) originated from the AI traffic channel group — concentrated almost entirely on the one page already touched by GEO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400"/>
        <w:gridCol w:w="1300"/>
        <w:gridCol w:w="900"/>
        <w:gridCol w:w="2050"/>
      </w:tblGrid>
      <w:tr>
        <w:trPr>
          <w:tblHeader/>
        </w:trPr>
        <w:tc>
          <w:tcPr>
            <w:tcW w:type="dxa" w:w="28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Template family</w:t>
            </w:r>
          </w:p>
        </w:tc>
        <w:tc>
          <w:tcPr>
            <w:tcW w:type="dxa" w:w="9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 pages</w:t>
            </w:r>
          </w:p>
        </w:tc>
        <w:tc>
          <w:tcPr>
            <w:tcW w:type="dxa" w:w="14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Sessions</w:t>
            </w:r>
          </w:p>
        </w:tc>
        <w:tc>
          <w:tcPr>
            <w:tcW w:type="dxa" w:w="13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Conversions</w:t>
            </w:r>
          </w:p>
        </w:tc>
        <w:tc>
          <w:tcPr>
            <w:tcW w:type="dxa" w:w="9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CVR</w:t>
            </w:r>
          </w:p>
        </w:tc>
        <w:tc>
          <w:tcPr>
            <w:tcW w:type="dxa" w:w="205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Pages w/ 0 AI sessions</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lp-shopping (PMax/Shopping LP)</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14</w:t>
            </w:r>
          </w:p>
        </w:tc>
        <w:tc>
          <w:tcPr>
            <w:tcW w:type="dxa" w:w="14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31,894</w:t>
            </w:r>
          </w:p>
        </w:tc>
        <w:tc>
          <w:tcPr>
            <w:tcW w:type="dxa" w:w="13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642</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2.01%</w:t>
            </w:r>
          </w:p>
        </w:tc>
        <w:tc>
          <w:tcPr>
            <w:tcW w:type="dxa" w:w="20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12 (out of 14)</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lp-obd (OBD/coding LP, brand×country)</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20</w:t>
            </w:r>
          </w:p>
        </w:tc>
        <w:tc>
          <w:tcPr>
            <w:tcW w:type="dxa" w:w="14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24,253</w:t>
            </w:r>
          </w:p>
        </w:tc>
        <w:tc>
          <w:tcPr>
            <w:tcW w:type="dxa" w:w="13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589</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2.43%</w:t>
            </w:r>
          </w:p>
        </w:tc>
        <w:tc>
          <w:tcPr>
            <w:tcW w:type="dxa" w:w="20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16</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lp-shopping (legacy country variants)</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w:t>
            </w:r>
          </w:p>
        </w:tc>
        <w:tc>
          <w:tcPr>
            <w:tcW w:type="dxa" w:w="14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644</w:t>
            </w:r>
          </w:p>
        </w:tc>
        <w:tc>
          <w:tcPr>
            <w:tcW w:type="dxa" w:w="13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W w:type="dxa" w:w="20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lp-influencer-or-affiliate-partner</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w:t>
            </w:r>
          </w:p>
        </w:tc>
        <w:tc>
          <w:tcPr>
            <w:tcW w:type="dxa" w:w="14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225</w:t>
            </w:r>
          </w:p>
        </w:tc>
        <w:tc>
          <w:tcPr>
            <w:tcW w:type="dxa" w:w="13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W w:type="dxa" w:w="20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w:t>
            </w:r>
          </w:p>
        </w:tc>
      </w:tr>
      <w:tr>
        <w:tc>
          <w:tcPr>
            <w:tcW w:type="dxa" w:w="28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lp-what-your-car-doesnt-tell-you (campaign)</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w:t>
            </w:r>
          </w:p>
        </w:tc>
        <w:tc>
          <w:tcPr>
            <w:tcW w:type="dxa" w:w="14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15</w:t>
            </w:r>
          </w:p>
        </w:tc>
        <w:tc>
          <w:tcPr>
            <w:tcW w:type="dxa" w:w="13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w:t>
            </w:r>
          </w:p>
        </w:tc>
        <w:tc>
          <w:tcPr>
            <w:tcW w:type="dxa" w:w="9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0.00%</w:t>
            </w:r>
          </w:p>
        </w:tc>
        <w:tc>
          <w:tcPr>
            <w:tcW w:type="dxa" w:w="20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w:t>
            </w:r>
          </w:p>
        </w:tc>
      </w:tr>
    </w:tbl>
    <w:p>
      <w:pPr>
        <w:spacing w:after="160" w:line="276"/>
      </w:pPr>
      <w:r>
        <w:rPr>
          <w:rFonts w:ascii="Calibri" w:cs="Calibri" w:eastAsia="Calibri" w:hAnsi="Calibri"/>
          <w:color w:val="1A1A1A"/>
          <w:sz w:val="8"/>
          <w:szCs w:val="8"/>
        </w:rPr>
        <w:t xml:space="preserve"/>
      </w:r>
    </w:p>
    <w:p>
      <w:pPr>
        <w:spacing w:after="160" w:line="276"/>
      </w:pPr>
      <w:r>
        <w:rPr>
          <w:rFonts w:ascii="Calibri" w:cs="Calibri" w:eastAsia="Calibri" w:hAnsi="Calibri"/>
          <w:color w:val="1A1A1A"/>
          <w:sz w:val="21"/>
          <w:szCs w:val="21"/>
        </w:rPr>
        <w:t xml:space="preserve">Key signal: /de/lp-obd-audi alone accounts for 16 of the 35 total AI sessions across every /lp-* page combined, despite ranking only 9th by total session volume. It is also the only page in scope that has received any GEO-specific schema work to date — a reasonable working hypothesis is that the schema fix is already producing the only measurable AI-visibility signal in this page set.</w:t>
      </w:r>
    </w:p>
    <w:p>
      <w:pPr>
        <w:pStyle w:val="Heading1"/>
        <w:pBdr>
          <w:bottom w:val="single" w:color="0F8B8D" w:sz="12" w:space="4"/>
        </w:pBdr>
        <w:spacing w:after="160" w:before="320"/>
      </w:pPr>
      <w:r>
        <w:rPr>
          <w:rFonts w:ascii="Calibri" w:cs="Calibri" w:eastAsia="Calibri" w:hAnsi="Calibri"/>
          <w:b/>
          <w:bCs/>
          <w:color w:val="0B2545"/>
          <w:sz w:val="30"/>
          <w:szCs w:val="30"/>
        </w:rPr>
        <w:t xml:space="preserve">3. Rollout Priority</w:t>
      </w:r>
    </w:p>
    <w:p>
      <w:pPr>
        <w:spacing w:after="160" w:line="276"/>
      </w:pPr>
      <w:r>
        <w:rPr>
          <w:rFonts w:ascii="Calibri" w:cs="Calibri" w:eastAsia="Calibri" w:hAnsi="Calibri"/>
          <w:color w:val="1A1A1A"/>
          <w:sz w:val="21"/>
          <w:szCs w:val="21"/>
        </w:rPr>
        <w:t xml:space="preserve">Ordered by CVR rather than raw volume: a session captured from AI traffic on a high-converting page is worth more than the same session on a low-converting one, and several high-CVR pages currently have zero AI exposure to lose.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1000"/>
        <w:gridCol w:w="750"/>
        <w:gridCol w:w="1000"/>
        <w:gridCol w:w="4150"/>
      </w:tblGrid>
      <w:tr>
        <w:trPr>
          <w:tblHeader/>
        </w:trPr>
        <w:tc>
          <w:tcPr>
            <w:tcW w:type="dxa" w:w="45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t>
            </w:r>
          </w:p>
        </w:tc>
        <w:tc>
          <w:tcPr>
            <w:tcW w:type="dxa" w:w="20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Page</w:t>
            </w:r>
          </w:p>
        </w:tc>
        <w:tc>
          <w:tcPr>
            <w:tcW w:type="dxa" w:w="10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Sessions</w:t>
            </w:r>
          </w:p>
        </w:tc>
        <w:tc>
          <w:tcPr>
            <w:tcW w:type="dxa" w:w="75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CVR</w:t>
            </w:r>
          </w:p>
        </w:tc>
        <w:tc>
          <w:tcPr>
            <w:tcW w:type="dxa" w:w="100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AI sessions</w:t>
            </w:r>
          </w:p>
        </w:tc>
        <w:tc>
          <w:tcPr>
            <w:tcW w:type="dxa" w:w="4150"/>
            <w:shd w:fill="0B2545"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Rationale</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/de/lp-obd-audi</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1,226</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4.40%</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16</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Already audited (REQ ref: schema gaps doc). Template fix here becomes the master pattern.</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/de/lp-shopping-de-ch</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1,328</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3.69%</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Highest CVR in lp-shopping family — no AI exposure yet, high upside per session.</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/de/lp-obd-fuer-opel</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1,816</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3.52%</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High CVR, zero AI sessions — clean test case for isolating schema impact.</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4</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/de/lp-shopping-de</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2,880</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3.58%</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High volume + high CVR combination; second-largest shopping LP.</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5</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/de/lp-obd-mercedes</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1,616</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3.16%</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Same brand-template family as Audi/BMW/Opel — batch with #1, #3.</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6</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/de/lp-obd-bmw</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3,047</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2.86%</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0</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Second-highest volume in lp-obd family.</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7</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/de/lp-obd-vw</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10,158</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2.25%</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Highest absolute volume — lower CVR, but scale alone justifies inclusion.</w:t>
            </w:r>
          </w:p>
        </w:tc>
      </w:tr>
      <w:tr>
        <w:tc>
          <w:tcPr>
            <w:tcW w:type="dxa" w:w="4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8</w:t>
            </w:r>
          </w:p>
        </w:tc>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/lp-shopping-en-uk</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7,971</w:t>
            </w:r>
          </w:p>
        </w:tc>
        <w:tc>
          <w:tcPr>
            <w:tcW w:type="dxa" w:w="7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1.38%</w:t>
            </w:r>
          </w:p>
        </w:tc>
        <w:tc>
          <w:tcPr>
            <w:tcW w:type="dxa" w:w="100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4</w:t>
            </w:r>
          </w:p>
        </w:tc>
        <w:tc>
          <w:tcPr>
            <w:tcW w:type="dxa" w:w="4150"/>
            <w:shd w:fill="FFFFFF" w:val="clear"/>
            <w:tcMar>
              <w:top w:type="dxa" w:w="80"/>
              <w:left w:type="dxa" w:w="100"/>
              <w:bottom w:type="dxa" w:w="80"/>
              <w:right w:type="dxa" w:w="100"/>
            </w:tcMar>
          </w:tcPr>
          <w:p>
            <w:pPr>
              <w:jc w:val="left"/>
            </w:pPr>
            <w:r>
              <w:rPr>
                <w:rFonts w:ascii="Calibri" w:cs="Calibri" w:eastAsia="Calibri" w:hAnsi="Calibri"/>
                <w:b w:val="false"/>
                <w:bCs w:val="false"/>
                <w:color w:val="1A1A1A"/>
                <w:sz w:val="19"/>
                <w:szCs w:val="19"/>
              </w:rPr>
              <w:t xml:space="preserve">Highest AI exposure after Audi — already gets some LLM traffic despite lower CVR.</w:t>
            </w:r>
          </w:p>
        </w:tc>
      </w:tr>
    </w:tbl>
    <w:p>
      <w:pPr>
        <w:pStyle w:val="Heading1"/>
        <w:pBdr>
          <w:bottom w:val="single" w:color="0F8B8D" w:sz="12" w:space="4"/>
        </w:pBdr>
        <w:spacing w:after="160" w:before="320"/>
      </w:pPr>
      <w:r>
        <w:rPr>
          <w:rFonts w:ascii="Calibri" w:cs="Calibri" w:eastAsia="Calibri" w:hAnsi="Calibri"/>
          <w:b/>
          <w:bCs/>
          <w:color w:val="0B2545"/>
          <w:sz w:val="30"/>
          <w:szCs w:val="30"/>
        </w:rPr>
        <w:t xml:space="preserve">4. Requirements</w:t>
      </w:r>
    </w:p>
    <w:p>
      <w:pPr>
        <w:shd w:fill="0B2545" w:val="clear"/>
        <w:spacing w:after="100" w:before="240"/>
      </w:pPr>
      <w:r>
        <w:rPr>
          <w:rFonts w:ascii="Calibri" w:cs="Calibri" w:eastAsia="Calibri" w:hAnsi="Calibri"/>
          <w:b/>
          <w:bCs/>
          <w:color w:val="FFFFFF"/>
          <w:sz w:val="21"/>
          <w:szCs w:val="21"/>
        </w:rPr>
        <w:t xml:space="preserve">  REQ-10.1</w:t>
      </w:r>
      <w:r>
        <w:rPr>
          <w:rFonts w:ascii="Calibri" w:cs="Calibri" w:eastAsia="Calibri" w:hAnsi="Calibri"/>
          <w:b/>
          <w:bCs/>
          <w:color w:val="E6F5F5"/>
          <w:sz w:val="21"/>
          <w:szCs w:val="21"/>
        </w:rPr>
        <w:t xml:space="preserve">   Templated Product/Offer/AggregateRating schema — lp-obd-* family  </w:t>
      </w:r>
    </w:p>
    <w:p>
      <w:pPr>
        <w:spacing w:after="160" w:line="276"/>
      </w:pPr>
      <w:r>
        <w:rPr>
          <w:rFonts w:ascii="Calibri" w:cs="Calibri" w:eastAsia="Calibri" w:hAnsi="Calibri"/>
          <w:color w:val="1A1A1A"/>
          <w:sz w:val="21"/>
          <w:szCs w:val="21"/>
        </w:rPr>
        <w:t xml:space="preserve">Extend the schema fix already scoped for /de/lp-obd-audi (Product schema, multi-source AggregateRating, og:type correction) to all 20 pages in the lp-obd-* template family.</w:t>
      </w:r>
    </w:p>
    <w:p>
      <w:pPr>
        <w:spacing w:after="160" w:line="276"/>
      </w:pPr>
      <w:r>
        <w:rPr>
          <w:rFonts w:ascii="Calibri" w:cs="Calibri" w:eastAsia="Calibri" w:hAnsi="Calibri"/>
          <w:color w:val="1A1A1A"/>
          <w:sz w:val="21"/>
          <w:szCs w:val="21"/>
        </w:rPr>
        <w:t xml:space="preserve">This is one template fix propagated via variables (brand, country, price, currency), not 20 individual edits. Confirm with dev whether all 20 pages share a single Elementor template/widget before scoping hours — if the UK/US variants (lp-obd-for-bmw-uk, lp-obd-for-vw-us, etc.) diverge structurally from the DE/FR set, this may be two templates, not one.</w:t>
      </w:r>
    </w:p>
    <w:p>
      <w:pPr>
        <w:pBdr>
          <w:top w:val="single" w:color="CCCCCC" w:sz="4" w:space="4"/>
          <w:bottom w:val="single" w:color="CCCCCC" w:sz="4" w:space="4"/>
          <w:left w:val="single" w:color="CCCCCC" w:sz="4" w:space="4"/>
          <w:right w:val="single" w:color="CCCCCC" w:sz="4" w:space="4"/>
        </w:pBdr>
        <w:shd w:fill="F2F2F2" w:val="clear"/>
        <w:spacing w:after="160" w:before="100"/>
      </w:pPr>
      <w:r>
        <w:rPr>
          <w:rFonts w:ascii="Consolas" w:cs="Consolas" w:eastAsia="Consolas" w:hAnsi="Consolas"/>
          <w:sz w:val="18"/>
          <w:szCs w:val="18"/>
        </w:rPr>
        <w:t xml:space="preserve">{</w:t>
      </w:r>
      <w:r>
        <w:rPr>
          <w:rFonts w:ascii="Consolas" w:cs="Consolas" w:eastAsia="Consolas" w:hAnsi="Consolas"/>
          <w:sz w:val="18"/>
          <w:szCs w:val="18"/>
        </w:rPr>
        <w:br/>
        <w:t xml:space="preserve">  "@context": "https://schema.org",</w:t>
      </w:r>
      <w:r>
        <w:rPr>
          <w:rFonts w:ascii="Consolas" w:cs="Consolas" w:eastAsia="Consolas" w:hAnsi="Consolas"/>
          <w:sz w:val="18"/>
          <w:szCs w:val="18"/>
        </w:rPr>
        <w:br/>
        <w:t xml:space="preserve">  "@type": "Product",</w:t>
      </w:r>
      <w:r>
        <w:rPr>
          <w:rFonts w:ascii="Consolas" w:cs="Consolas" w:eastAsia="Consolas" w:hAnsi="Consolas"/>
          <w:sz w:val="18"/>
          <w:szCs w:val="18"/>
        </w:rPr>
        <w:br/>
        <w:t xml:space="preserve">  "name": "Carly OBD2 Scanner + Coding — {{BRAND}}",</w:t>
      </w:r>
      <w:r>
        <w:rPr>
          <w:rFonts w:ascii="Consolas" w:cs="Consolas" w:eastAsia="Consolas" w:hAnsi="Consolas"/>
          <w:sz w:val="18"/>
          <w:szCs w:val="18"/>
        </w:rPr>
        <w:br/>
        <w:t xml:space="preserve">  "brand": { "@type": "Brand", "name": "Carly" },</w:t>
      </w:r>
      <w:r>
        <w:rPr>
          <w:rFonts w:ascii="Consolas" w:cs="Consolas" w:eastAsia="Consolas" w:hAnsi="Consolas"/>
          <w:sz w:val="18"/>
          <w:szCs w:val="18"/>
        </w:rPr>
        <w:br/>
        <w:t xml:space="preserve">  "offers": {</w:t>
      </w:r>
      <w:r>
        <w:rPr>
          <w:rFonts w:ascii="Consolas" w:cs="Consolas" w:eastAsia="Consolas" w:hAnsi="Consolas"/>
          <w:sz w:val="18"/>
          <w:szCs w:val="18"/>
        </w:rPr>
        <w:br/>
        <w:t xml:space="preserve">    "@type": "Offer",</w:t>
      </w:r>
      <w:r>
        <w:rPr>
          <w:rFonts w:ascii="Consolas" w:cs="Consolas" w:eastAsia="Consolas" w:hAnsi="Consolas"/>
          <w:sz w:val="18"/>
          <w:szCs w:val="18"/>
        </w:rPr>
        <w:br/>
        <w:t xml:space="preserve">    "price": "{{PRICE}}",</w:t>
      </w:r>
      <w:r>
        <w:rPr>
          <w:rFonts w:ascii="Consolas" w:cs="Consolas" w:eastAsia="Consolas" w:hAnsi="Consolas"/>
          <w:sz w:val="18"/>
          <w:szCs w:val="18"/>
        </w:rPr>
        <w:br/>
        <w:t xml:space="preserve">    "priceCurrency": "{{CURRENCY}}",</w:t>
      </w:r>
      <w:r>
        <w:rPr>
          <w:rFonts w:ascii="Consolas" w:cs="Consolas" w:eastAsia="Consolas" w:hAnsi="Consolas"/>
          <w:sz w:val="18"/>
          <w:szCs w:val="18"/>
        </w:rPr>
        <w:br/>
        <w:t xml:space="preserve">    "availability": "https://schema.org/InStock",</w:t>
      </w:r>
      <w:r>
        <w:rPr>
          <w:rFonts w:ascii="Consolas" w:cs="Consolas" w:eastAsia="Consolas" w:hAnsi="Consolas"/>
          <w:sz w:val="18"/>
          <w:szCs w:val="18"/>
        </w:rPr>
        <w:br/>
        <w:t xml:space="preserve">    "url": "{{PAGE_URL}}"</w:t>
      </w:r>
      <w:r>
        <w:rPr>
          <w:rFonts w:ascii="Consolas" w:cs="Consolas" w:eastAsia="Consolas" w:hAnsi="Consolas"/>
          <w:sz w:val="18"/>
          <w:szCs w:val="18"/>
        </w:rPr>
        <w:br/>
        <w:t xml:space="preserve">  },</w:t>
      </w:r>
      <w:r>
        <w:rPr>
          <w:rFonts w:ascii="Consolas" w:cs="Consolas" w:eastAsia="Consolas" w:hAnsi="Consolas"/>
          <w:sz w:val="18"/>
          <w:szCs w:val="18"/>
        </w:rPr>
        <w:br/>
        <w:t xml:space="preserve">  "aggregateRating": {</w:t>
      </w:r>
      <w:r>
        <w:rPr>
          <w:rFonts w:ascii="Consolas" w:cs="Consolas" w:eastAsia="Consolas" w:hAnsi="Consolas"/>
          <w:sz w:val="18"/>
          <w:szCs w:val="18"/>
        </w:rPr>
        <w:br/>
        <w:t xml:space="preserve">    "@type": "AggregateRating",</w:t>
      </w:r>
      <w:r>
        <w:rPr>
          <w:rFonts w:ascii="Consolas" w:cs="Consolas" w:eastAsia="Consolas" w:hAnsi="Consolas"/>
          <w:sz w:val="18"/>
          <w:szCs w:val="18"/>
        </w:rPr>
        <w:br/>
        <w:t xml:space="preserve">    "ratingValue": "{{RATING}}",</w:t>
      </w:r>
      <w:r>
        <w:rPr>
          <w:rFonts w:ascii="Consolas" w:cs="Consolas" w:eastAsia="Consolas" w:hAnsi="Consolas"/>
          <w:sz w:val="18"/>
          <w:szCs w:val="18"/>
        </w:rPr>
        <w:br/>
        <w:t xml:space="preserve">    "reviewCount": "{{REVIEW_COUNT}}"</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hd w:fill="0B2545" w:val="clear"/>
        <w:spacing w:after="100" w:before="240"/>
      </w:pPr>
      <w:r>
        <w:rPr>
          <w:rFonts w:ascii="Calibri" w:cs="Calibri" w:eastAsia="Calibri" w:hAnsi="Calibri"/>
          <w:b/>
          <w:bCs/>
          <w:color w:val="FFFFFF"/>
          <w:sz w:val="21"/>
          <w:szCs w:val="21"/>
        </w:rPr>
        <w:t xml:space="preserve">  REQ-10.2</w:t>
      </w:r>
      <w:r>
        <w:rPr>
          <w:rFonts w:ascii="Calibri" w:cs="Calibri" w:eastAsia="Calibri" w:hAnsi="Calibri"/>
          <w:b/>
          <w:bCs/>
          <w:color w:val="E6F5F5"/>
          <w:sz w:val="21"/>
          <w:szCs w:val="21"/>
        </w:rPr>
        <w:t xml:space="preserve">   Templated Product/Offer schema — lp-shopping-* family  </w:t>
      </w:r>
    </w:p>
    <w:p>
      <w:pPr>
        <w:spacing w:after="160" w:line="276"/>
      </w:pPr>
      <w:r>
        <w:rPr>
          <w:rFonts w:ascii="Calibri" w:cs="Calibri" w:eastAsia="Calibri" w:hAnsi="Calibri"/>
          <w:color w:val="1A1A1A"/>
          <w:sz w:val="21"/>
          <w:szCs w:val="21"/>
        </w:rPr>
        <w:t xml:space="preserve">Same schema pattern as REQ-10.1, applied to the 12 active lp-shopping-* pages (country/language variants of the general shopping landing page). Excludes the 2 legacy variants flagged for deprecation in REQ-10.4.</w:t>
      </w:r>
    </w:p>
    <w:p>
      <w:pPr>
        <w:spacing w:after="160" w:line="276"/>
      </w:pPr>
      <w:r>
        <w:rPr>
          <w:rFonts w:ascii="Calibri" w:cs="Calibri" w:eastAsia="Calibri" w:hAnsi="Calibri"/>
          <w:color w:val="1A1A1A"/>
          <w:sz w:val="21"/>
          <w:szCs w:val="21"/>
        </w:rPr>
        <w:t xml:space="preserve">Because lp-shopping-* pages are broader (all-brand offer, not brand-specific), the Product name and description should reflect the general Carly adapter + app bundle rather than a single brand.</w:t>
      </w:r>
    </w:p>
    <w:p>
      <w:pPr>
        <w:shd w:fill="0B2545" w:val="clear"/>
        <w:spacing w:after="100" w:before="240"/>
      </w:pPr>
      <w:r>
        <w:rPr>
          <w:rFonts w:ascii="Calibri" w:cs="Calibri" w:eastAsia="Calibri" w:hAnsi="Calibri"/>
          <w:b/>
          <w:bCs/>
          <w:color w:val="FFFFFF"/>
          <w:sz w:val="21"/>
          <w:szCs w:val="21"/>
        </w:rPr>
        <w:t xml:space="preserve">  REQ-10.3</w:t>
      </w:r>
      <w:r>
        <w:rPr>
          <w:rFonts w:ascii="Calibri" w:cs="Calibri" w:eastAsia="Calibri" w:hAnsi="Calibri"/>
          <w:b/>
          <w:bCs/>
          <w:color w:val="E6F5F5"/>
          <w:sz w:val="21"/>
          <w:szCs w:val="21"/>
        </w:rPr>
        <w:t xml:space="preserve">   On-page diagnostic-intent content block  </w:t>
      </w:r>
    </w:p>
    <w:p>
      <w:pPr>
        <w:spacing w:after="160" w:line="276"/>
      </w:pPr>
      <w:r>
        <w:rPr>
          <w:rFonts w:ascii="Calibri" w:cs="Calibri" w:eastAsia="Calibri" w:hAnsi="Calibri"/>
          <w:color w:val="1A1A1A"/>
          <w:sz w:val="21"/>
          <w:szCs w:val="21"/>
        </w:rPr>
        <w:t xml:space="preserve">Schema alone does not make a page a good LLM answer — the visible copy needs to directly answer the question a person would ask an AI assistant (“what can I diagnose on my Audi with an OBD scanner”, “does Carly support BMW coding”).</w:t>
      </w:r>
    </w:p>
    <w:p>
      <w:pPr>
        <w:spacing w:after="160" w:line="276"/>
      </w:pPr>
      <w:r>
        <w:rPr>
          <w:rFonts w:ascii="Calibri" w:cs="Calibri" w:eastAsia="Calibri" w:hAnsi="Calibri"/>
          <w:color w:val="1A1A1A"/>
          <w:sz w:val="21"/>
          <w:szCs w:val="21"/>
        </w:rPr>
        <w:t xml:space="preserve">Add a content block above the CTA on each lp-obd-* page: “What can I diagnose and code on my {{BRAND}} with Carly?” listing the specific systems supported (engine, ABS, airbag, and coding-specific functions where applicable per the brand tier). This block can double as the visible text backing an optional FAQPage schema entry — Google no longer renders FAQ rich results (deprecated May 7, 2026), but the markup remains valid and is still crawled by GPTBot, PerplexityBot, and other AI retrieval crawlers, so there is no SEO trade-off to adding it.</w:t>
      </w:r>
    </w:p>
    <w:p>
      <w:pPr>
        <w:shd w:fill="0B2545" w:val="clear"/>
        <w:spacing w:after="100" w:before="240"/>
      </w:pPr>
      <w:r>
        <w:rPr>
          <w:rFonts w:ascii="Calibri" w:cs="Calibri" w:eastAsia="Calibri" w:hAnsi="Calibri"/>
          <w:b/>
          <w:bCs/>
          <w:color w:val="FFFFFF"/>
          <w:sz w:val="21"/>
          <w:szCs w:val="21"/>
        </w:rPr>
        <w:t xml:space="preserve">  REQ-10.4</w:t>
      </w:r>
      <w:r>
        <w:rPr>
          <w:rFonts w:ascii="Calibri" w:cs="Calibri" w:eastAsia="Calibri" w:hAnsi="Calibri"/>
          <w:b/>
          <w:bCs/>
          <w:color w:val="E6F5F5"/>
          <w:sz w:val="21"/>
          <w:szCs w:val="21"/>
        </w:rPr>
        <w:t xml:space="preserve">   Deprecate or fix zero-conversion legacy variants  </w:t>
      </w:r>
    </w:p>
    <w:p>
      <w:pPr>
        <w:spacing w:after="160" w:line="276"/>
      </w:pPr>
      <w:r>
        <w:rPr>
          <w:rFonts w:ascii="Calibri" w:cs="Calibri" w:eastAsia="Calibri" w:hAnsi="Calibri"/>
          <w:color w:val="1A1A1A"/>
          <w:sz w:val="21"/>
          <w:szCs w:val="21"/>
        </w:rPr>
        <w:t xml:space="preserve">/lp-shopping-en-uk-test (169 sessions, 1 conversion), /lp-polish-shopping (227 sessions, 0 conversions), and /lp-ro-shopping (417 sessions, 0 conversions) show 0.00–0.59% CVR against a 2.16% blended average — consistent with stale A/B test variants or broken tracking rather than genuine underperformance.</w:t>
      </w:r>
    </w:p>
    <w:p>
      <w:pPr>
        <w:spacing w:after="160" w:line="276"/>
      </w:pPr>
      <w:r>
        <w:rPr>
          <w:rFonts w:ascii="Calibri" w:cs="Calibri" w:eastAsia="Calibri" w:hAnsi="Calibri"/>
          <w:color w:val="1A1A1A"/>
          <w:sz w:val="21"/>
          <w:szCs w:val="21"/>
        </w:rPr>
        <w:t xml:space="preserve">Confirm with Christopher whether these are still linked from active campaigns before investing schema work in them. If abandoned, redirect or noindex them — leaving zero-signal pages in the crawlable set dilutes topical authority for the pages that matter.</w:t>
      </w:r>
    </w:p>
    <w:p>
      <w:pPr>
        <w:shd w:fill="0B2545" w:val="clear"/>
        <w:spacing w:after="100" w:before="240"/>
      </w:pPr>
      <w:r>
        <w:rPr>
          <w:rFonts w:ascii="Calibri" w:cs="Calibri" w:eastAsia="Calibri" w:hAnsi="Calibri"/>
          <w:b/>
          <w:bCs/>
          <w:color w:val="FFFFFF"/>
          <w:sz w:val="21"/>
          <w:szCs w:val="21"/>
        </w:rPr>
        <w:t xml:space="preserve">  REQ-10.5</w:t>
      </w:r>
      <w:r>
        <w:rPr>
          <w:rFonts w:ascii="Calibri" w:cs="Calibri" w:eastAsia="Calibri" w:hAnsi="Calibri"/>
          <w:b/>
          <w:bCs/>
          <w:color w:val="E6F5F5"/>
          <w:sz w:val="21"/>
          <w:szCs w:val="21"/>
        </w:rPr>
        <w:t xml:space="preserve">   Baseline and monthly measurement cadence  </w:t>
      </w:r>
    </w:p>
    <w:p>
      <w:pPr>
        <w:spacing w:after="160" w:line="276"/>
      </w:pPr>
      <w:r>
        <w:rPr>
          <w:rFonts w:ascii="Calibri" w:cs="Calibri" w:eastAsia="Calibri" w:hAnsi="Calibri"/>
          <w:color w:val="1A1A1A"/>
          <w:sz w:val="21"/>
          <w:szCs w:val="21"/>
        </w:rPr>
        <w:t xml:space="preserve">Current baseline: 35 AI-sourced sessions across all /lp-* pages over 8 weeks, against 57,034 total sessions (0.06% of /lp-* traffic). This is too low a volume for weekly read-outs — track monthly to avoid reacting to noise.</w:t>
      </w:r>
    </w:p>
    <w:p>
      <w:pPr>
        <w:spacing w:after="160" w:line="276"/>
      </w:pPr>
      <w:r>
        <w:rPr>
          <w:rFonts w:ascii="Calibri" w:cs="Calibri" w:eastAsia="Calibri" w:hAnsi="Calibri"/>
          <w:color w:val="1A1A1A"/>
          <w:sz w:val="21"/>
          <w:szCs w:val="21"/>
        </w:rPr>
        <w:t xml:space="preserve">Primary metric: AI traffic channel sessions landing on /lp-* pages, split by lp-obd vs. lp-shopping family. Secondary metric: conversion rate of that AI-sourced subset once volume is sufficient (currently too thin to compute meaningfully — revisit at ~150+ AI sessions/month on this page set).</w:t>
      </w:r>
    </w:p>
    <w:p>
      <w:pPr>
        <w:pStyle w:val="Heading1"/>
        <w:pBdr>
          <w:bottom w:val="single" w:color="0F8B8D" w:sz="12" w:space="4"/>
        </w:pBdr>
        <w:spacing w:after="160" w:before="320"/>
      </w:pPr>
      <w:r>
        <w:rPr>
          <w:rFonts w:ascii="Calibri" w:cs="Calibri" w:eastAsia="Calibri" w:hAnsi="Calibri"/>
          <w:b/>
          <w:bCs/>
          <w:color w:val="0B2545"/>
          <w:sz w:val="30"/>
          <w:szCs w:val="30"/>
        </w:rPr>
        <w:t xml:space="preserve">5. Out of Scope (this REQ)</w:t>
      </w:r>
    </w:p>
    <w:p>
      <w:pPr>
        <w:pStyle w:val="ListParagraph"/>
        <w:numPr>
          <w:ilvl w:val="0"/>
          <w:numId w:val="2"/>
        </w:numPr>
        <w:spacing w:after="80" w:line="276"/>
      </w:pPr>
      <w:r>
        <w:rPr>
          <w:rFonts w:ascii="Calibri" w:cs="Calibri" w:eastAsia="Calibri" w:hAnsi="Calibri"/>
          <w:color w:val="1A1A1A"/>
          <w:sz w:val="21"/>
          <w:szCs w:val="21"/>
        </w:rPr>
        <w:t xml:space="preserve">/obd-codes/* and /community/* schema work — tracked separately; these pages carry meaningful AI-assisted traffic but convert near 0%, so they are a visibility play, not a revenue play.</w:t>
      </w:r>
    </w:p>
    <w:p>
      <w:pPr>
        <w:pStyle w:val="ListParagraph"/>
        <w:numPr>
          <w:ilvl w:val="0"/>
          <w:numId w:val="2"/>
        </w:numPr>
        <w:spacing w:after="80" w:line="276"/>
      </w:pPr>
      <w:r>
        <w:rPr>
          <w:rFonts w:ascii="Calibri" w:cs="Calibri" w:eastAsia="Calibri" w:hAnsi="Calibri"/>
          <w:color w:val="1A1A1A"/>
          <w:sz w:val="21"/>
          <w:szCs w:val="21"/>
        </w:rPr>
        <w:t xml:space="preserve">support.mycarly.com (Zendesk) tracking gap — tracked separately; affects citation measurement, not the /lp-* pages themselves.</w:t>
      </w:r>
    </w:p>
    <w:p>
      <w:pPr>
        <w:pStyle w:val="ListParagraph"/>
        <w:numPr>
          <w:ilvl w:val="0"/>
          <w:numId w:val="2"/>
        </w:numPr>
        <w:spacing w:after="80" w:line="276"/>
      </w:pPr>
      <w:r>
        <w:rPr>
          <w:rFonts w:ascii="Calibri" w:cs="Calibri" w:eastAsia="Calibri" w:hAnsi="Calibri"/>
          <w:color w:val="1A1A1A"/>
          <w:sz w:val="21"/>
          <w:szCs w:val="21"/>
        </w:rPr>
        <w:t xml:space="preserve">New landing page creation — this REQ optimizes existing pages only.</w:t>
      </w:r>
    </w:p>
    <w:p>
      <w:pPr>
        <w:pStyle w:val="Heading1"/>
        <w:pBdr>
          <w:bottom w:val="single" w:color="0F8B8D" w:sz="12" w:space="4"/>
        </w:pBdr>
        <w:spacing w:after="160" w:before="320"/>
      </w:pPr>
      <w:r>
        <w:rPr>
          <w:rFonts w:ascii="Calibri" w:cs="Calibri" w:eastAsia="Calibri" w:hAnsi="Calibri"/>
          <w:b/>
          <w:bCs/>
          <w:color w:val="0B2545"/>
          <w:sz w:val="30"/>
          <w:szCs w:val="30"/>
        </w:rPr>
        <w:t xml:space="preserve">6. Open Questions for Christopher / Dev</w:t>
      </w:r>
    </w:p>
    <w:p>
      <w:pPr>
        <w:pStyle w:val="ListParagraph"/>
        <w:numPr>
          <w:ilvl w:val="0"/>
          <w:numId w:val="2"/>
        </w:numPr>
        <w:spacing w:after="80" w:line="276"/>
      </w:pPr>
      <w:r>
        <w:rPr>
          <w:rFonts w:ascii="Calibri" w:cs="Calibri" w:eastAsia="Calibri" w:hAnsi="Calibri"/>
          <w:color w:val="1A1A1A"/>
          <w:sz w:val="21"/>
          <w:szCs w:val="21"/>
        </w:rPr>
        <w:t xml:space="preserve">Do all 20 lp-obd-* pages share one Elementor template, or are UK/US variants a separate build? Determines whether this is a single templated fix or two.</w:t>
      </w:r>
    </w:p>
    <w:p>
      <w:pPr>
        <w:pStyle w:val="ListParagraph"/>
        <w:numPr>
          <w:ilvl w:val="0"/>
          <w:numId w:val="2"/>
        </w:numPr>
        <w:spacing w:after="80" w:line="276"/>
      </w:pPr>
      <w:r>
        <w:rPr>
          <w:rFonts w:ascii="Calibri" w:cs="Calibri" w:eastAsia="Calibri" w:hAnsi="Calibri"/>
          <w:color w:val="1A1A1A"/>
          <w:sz w:val="21"/>
          <w:szCs w:val="21"/>
        </w:rPr>
        <w:t xml:space="preserve">Are /lp-shopping-en-uk-test, /lp-polish-shopping, and /lp-ro-shopping still linked from live campaigns, or safe to deprecate (REQ-10.4)?</w:t>
      </w:r>
    </w:p>
    <w:p>
      <w:pPr>
        <w:pStyle w:val="ListParagraph"/>
        <w:numPr>
          <w:ilvl w:val="0"/>
          <w:numId w:val="2"/>
        </w:numPr>
        <w:spacing w:after="80" w:line="276"/>
      </w:pPr>
      <w:r>
        <w:rPr>
          <w:rFonts w:ascii="Calibri" w:cs="Calibri" w:eastAsia="Calibri" w:hAnsi="Calibri"/>
          <w:color w:val="1A1A1A"/>
          <w:sz w:val="21"/>
          <w:szCs w:val="21"/>
        </w:rPr>
        <w:t xml:space="preserve">Confirm current price/currency/rating data source per brand×country combination for the Offer/AggregateRating schema fields — needed before templating REQ-10.1/10.2.</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2026-09-01T08:41:28.677Z</dcterms:created>
  <dcterms:modified xsi:type="dcterms:W3CDTF">2026-09-01T08:41:28.678Z</dcterms:modified>
</cp:coreProperties>
</file>

<file path=docProps/custom.xml><?xml version="1.0" encoding="utf-8"?>
<Properties xmlns="http://schemas.openxmlformats.org/officeDocument/2006/custom-properties" xmlns:vt="http://schemas.openxmlformats.org/officeDocument/2006/docPropsVTypes"/>
</file>