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Workshop — 2026. október 5.</w:t>
      </w:r>
    </w:p>
    <w:p>
      <w:pPr>
        <w:pStyle w:val="Normal"/>
      </w:pPr>
      <w:r>
        <w:rPr>
          <w:b/>
        </w:rPr>
        <w:t xml:space="preserve">Program, jegyzet és szó szerinti szöveg</w:t>
      </w:r>
      <w:r>
        <w:br/>
      </w:r>
      <w:r>
        <w:t xml:space="preserve"> Kb. 8 fő (közgazdász hallgatók és szakértők) · 2 óra 15 perc · kerekasztal</w:t>
      </w:r>
      <w:r>
        <w:br/>
      </w:r>
      <w:r>
        <w:t xml:space="preserve"> </w:t>
      </w:r>
      <w:r>
        <w:rPr>
          <w:color w:val="444444"/>
          <w:sz w:val="19"/>
        </w:rPr>
        <w:t xml:space="preserve">Alap: a 2026-09-30-i workshop-terv. Vetített anyag: a modellbemutató HTML (docs/eredmenyek/2026-10-05_workshop_bemutato.html), az f29/f30 ábrák és a paraméter-prioritás tábla.</w:t>
      </w:r>
    </w:p>
    <w:p>
      <w:pPr>
        <w:pStyle w:val="Normal"/>
      </w:pPr>
      <w:r>
        <w:rPr>
          <w:b/>
        </w:rPr>
        <w:t xml:space="preserve">A központi kérdés:</w:t>
      </w:r>
      <w:r>
        <w:t xml:space="preserve"> Milyen feltételek mellett állíthatjuk, hogy az euró bevezetése eltérően érinti az exportáló KKV-kat, a hazai KKV-kat és a nagyvállalatokat?</w:t>
      </w:r>
      <w:r>
        <w:br/>
      </w:r>
      <w:r>
        <w:t xml:space="preserve"> </w:t>
      </w:r>
      <w:r>
        <w:rPr>
          <w:b/>
        </w:rPr>
        <w:t xml:space="preserve">Nyitó mondat:</w:t>
      </w:r>
      <w:r>
        <w:t xml:space="preserve"> „Ez nem feltétel nélküli euróhatás-becslés, hanem egy adott felár-, kamat- és hozzáférési pálya következménye.”</w:t>
      </w:r>
    </w:p>
    <w:p>
      <w:pPr>
        <w:pStyle w:val="Heading2"/>
      </w:pPr>
      <w:r>
        <w:t xml:space="preserve">1. Program</w:t>
      </w:r>
    </w:p>
    <w:tbl>
      <w:tblPr>
        <w:tblW w:w="9638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left w:w="80" w:type="dxa"/>
          <w:right w:w="80" w:type="dxa"/>
        </w:tblCellMar>
      </w:tblPr>
      <w:tblGrid>
        <w:gridCol w:w="1150"/>
        <w:gridCol w:w="2000"/>
        <w:gridCol w:w="4488"/>
        <w:gridCol w:w="2000"/>
      </w:tblGrid>
      <w:tr>
        <w:tc>
          <w:tcPr>
            <w:tcW w:w="1150" w:type="dxa"/>
            <w:shd w:val="clear" w:color="auto" w:fill="E3EBFF"/>
          </w:tcPr>
          <w:p>
            <w:pPr>
              <w:pStyle w:val="TableText"/>
            </w:pPr>
            <w:r>
              <w:rPr>
                <w:b/>
              </w:rPr>
              <w:t xml:space="preserve">Idő</w:t>
            </w:r>
          </w:p>
        </w:tc>
        <w:tc>
          <w:tcPr>
            <w:tcW w:w="2000" w:type="dxa"/>
            <w:shd w:val="clear" w:color="auto" w:fill="E3EBFF"/>
          </w:tcPr>
          <w:p>
            <w:pPr>
              <w:pStyle w:val="TableText"/>
            </w:pPr>
            <w:r>
              <w:rPr>
                <w:b/>
              </w:rPr>
              <w:t xml:space="preserve">Blokk</w:t>
            </w:r>
          </w:p>
        </w:tc>
        <w:tc>
          <w:tcPr>
            <w:tcW w:w="4488" w:type="dxa"/>
            <w:shd w:val="clear" w:color="auto" w:fill="E3EBFF"/>
          </w:tcPr>
          <w:p>
            <w:pPr>
              <w:pStyle w:val="TableText"/>
            </w:pPr>
            <w:r>
              <w:rPr>
                <w:b/>
              </w:rPr>
              <w:t xml:space="preserve">Mi történik</w:t>
            </w:r>
          </w:p>
        </w:tc>
        <w:tc>
          <w:tcPr>
            <w:tcW w:w="2000" w:type="dxa"/>
            <w:shd w:val="clear" w:color="auto" w:fill="E3EBFF"/>
          </w:tcPr>
          <w:p>
            <w:pPr>
              <w:pStyle w:val="TableText"/>
            </w:pPr>
            <w:r>
              <w:rPr>
                <w:b/>
              </w:rPr>
              <w:t xml:space="preserve">Anyag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0:00–0:10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Indítás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Bemutatkozó kör: mit vár a modelltől, és mi az az egy kérdés, amire felelnie kell. Felírás három oszlopba: szerkezet · kalibráció/adat · szakpolitikai értelmezés.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tábla / flipchart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0:10–0:25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A projekt 15 percben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A kérdés, miért DSGE, miért három vállalattípus, mit állítunk, mi bizonytalan. A két új eredmény egy-egy mondatban.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HTML: nyitó rész, „Miért így modellezünk”, „Mit állítunk”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0:25–1:10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A modell blokkonként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Szó szerinti szöveg (3. rész): monetáris unió → pénzügyi gyorsító → hitelhozzáférés → termelés → árak. Minden blokk végén egy kérdés a teremnek (1–2 perc).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HTML: térkép, 7., 2., 3., 4., 5. blokk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1:10–1:20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Szünet</w:t>
            </w:r>
          </w:p>
        </w:tc>
        <w:tc>
          <w:tcPr>
            <w:tcW w:w="4488" w:type="dxa"/>
          </w:tcPr>
          <w:p>
            <w:pPr>
              <w:pStyle w:val="TableText"/>
            </w:pPr>
          </w:p>
        </w:tc>
        <w:tc>
          <w:tcPr>
            <w:tcW w:w="2000" w:type="dxa"/>
          </w:tcPr>
          <w:p>
            <w:pPr>
              <w:pStyle w:val="TableText"/>
            </w:pP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1:20–1:35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Egy euró-forgatókönyv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Az alap szcenárió lépésenként, minden ábra előtt: „Mit vártok?”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f29, f30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1:35–1:50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Mi hajtja a KKV-eredményt?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Az előre kitöltött paraméter-tábla; csak ott állunk meg, ahol valaki nem ért egyet.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paraméter-prioritás tábla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1:50–1:57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Nyitott kérdések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Szó szerinti szöveg (3. rész), átvezet a bírálói körbe.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HTML: „Négy nyitott kérdés”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1:57–2:08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Bírálói kör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A discussant nyit (kb. 5 perc), utána mindenki legfeljebb 1 perc, vita nélkül.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a négy kérdés kivetítve</w:t>
            </w:r>
          </w:p>
        </w:tc>
      </w:tr>
      <w:tr>
        <w:tc>
          <w:tcPr>
            <w:tcW w:w="1150" w:type="dxa"/>
          </w:tcPr>
          <w:p>
            <w:pPr>
              <w:pStyle w:val="TableText"/>
            </w:pPr>
            <w:r>
              <w:t xml:space="preserve">2:08–2:15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Döntések és lezárás</w:t>
            </w:r>
          </w:p>
        </w:tc>
        <w:tc>
          <w:tcPr>
            <w:tcW w:w="4488" w:type="dxa"/>
          </w:tcPr>
          <w:p>
            <w:pPr>
              <w:pStyle w:val="TableText"/>
            </w:pPr>
            <w:r>
              <w:t xml:space="preserve">Döntési tábla felelőssel és határidővel.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döntési tábla</w:t>
            </w:r>
          </w:p>
        </w:tc>
      </w:tr>
    </w:tbl>
    <w:p/>
    <w:p>
      <w:pPr>
        <w:pStyle w:val="Normal"/>
      </w:pPr>
      <w:r>
        <w:rPr>
          <w:b/>
          <w:color w:val="444444"/>
          <w:sz w:val="19"/>
        </w:rPr>
        <w:t xml:space="preserve">Eltérés a 09-30-i tervtől:</w:t>
      </w:r>
      <w:r>
        <w:rPr>
          <w:color w:val="444444"/>
          <w:sz w:val="19"/>
        </w:rPr>
        <w:t xml:space="preserve"> a „boncolás” 25 helyett 45 perc, mert a modellt blokkonként végigvesszük; a forgatókönyv és a paraméter-blokk 25 helyett 15–15 perc; a nyitott kérdések külön 7 percet kapnak. </w:t>
      </w:r>
      <w:r>
        <w:rPr>
          <w:b/>
          <w:color w:val="444444"/>
          <w:sz w:val="19"/>
        </w:rPr>
        <w:t xml:space="preserve">Ha csúszik az idő:</w:t>
      </w:r>
      <w:r>
        <w:rPr>
          <w:color w:val="444444"/>
          <w:sz w:val="19"/>
        </w:rPr>
        <w:t xml:space="preserve"> az árak blokkot rövidítsd (az 5d rész elég), és a forgatókönyvnél csak az f30-at mutasd.</w:t>
      </w:r>
    </w:p>
    <w:p>
      <w:pPr>
        <w:pStyle w:val="Heading2"/>
      </w:pPr>
      <w:r>
        <w:t xml:space="preserve">2. Jegyzet blokkonként</w:t>
      </w:r>
    </w:p>
    <w:p>
      <w:pPr>
        <w:pStyle w:val="Heading3"/>
      </w:pPr>
      <w:r>
        <w:t xml:space="preserve">0:00–0:10 · Indítás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Cél:</w:t>
      </w:r>
      <w:r>
        <w:t xml:space="preserve"> megtudni, mit tart fontosnak a terem. Ha a szakpolitikai oszlop telik meg leginkább, a zárásban több idő jut a kommunikációs kérdésekre.</w:t>
      </w:r>
    </w:p>
    <w:p>
      <w:pPr>
        <w:pStyle w:val="ListParagraph"/>
        <w:numPr>
          <w:ilvl w:val="0"/>
          <w:numId w:val="1"/>
        </w:numPr>
      </w:pPr>
      <w:r>
        <w:t xml:space="preserve">Te mondod a nyitó mondatot, aztán körbemegy a szó.</w:t>
      </w:r>
    </w:p>
    <w:p>
      <w:pPr>
        <w:pStyle w:val="ListParagraph"/>
        <w:numPr>
          <w:ilvl w:val="0"/>
          <w:numId w:val="1"/>
        </w:numPr>
      </w:pPr>
      <w:r>
        <w:t xml:space="preserve">Ne kezdj el válaszolni a felvetésekre, csak írd fel őket.</w:t>
      </w:r>
    </w:p>
    <w:p>
      <w:pPr>
        <w:pStyle w:val="Heading3"/>
      </w:pPr>
      <w:r>
        <w:t xml:space="preserve">0:10–0:25 · A projekt 15 percben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Miért DSGE:</w:t>
      </w:r>
      <w:r>
        <w:t xml:space="preserve"> az euró rezsimváltás, a múltbeli adatban nincs ilyen esemény, regresszió nem mondja meg, mi lesz.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Miért a Jakab–Világi mag:</w:t>
      </w:r>
      <w:r>
        <w:t xml:space="preserve"> magyar adaton becsült paraméterek; erre építettünk három vállalattípust, pénzügyi súrlódást és hitelhozzáférést.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Miért három típus:</w:t>
      </w:r>
      <w:r>
        <w:t xml:space="preserve"> bankhitellel rendelkező cégek aránya 2021–24: export-KKV 61,9%, hazai KKV 4,8%, nagyvállalat 43,4%. </w:t>
      </w:r>
      <w:r>
        <w:rPr>
          <w:color w:val="B42318"/>
        </w:rPr>
        <w:t xml:space="preserve">Ne mondd, hogy „13-szor nagyobb eséllyel fér hozzá hitelhez”</w:t>
      </w:r>
      <w:r>
        <w:t xml:space="preserve"> — ez leíró különbség, a hitelkeresletet nem látjuk.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Fő szám:</w:t>
      </w:r>
      <w:r>
        <w:t xml:space="preserve"> a tartós GDP-hatás +0,52% … +1,18%, mind a 9 BK-stabil konfigurációban pozitív.</w:t>
      </w:r>
      <w:r>
        <w:br/>
      </w:r>
      <w:r>
        <w:rPr>
          <w:i/>
        </w:rPr>
        <w:t xml:space="preserve">Egy mondat hozzá:</w:t>
      </w:r>
      <w:r>
        <w:t xml:space="preserve"> „Ez a sáv egy horgonyzatlan paraméteren, a nettó vagyon perzisztenciáján múlik; a BGG-vel konzisztens értékkel kb. +0,30 … +0,68% — erre a nyitott kérdéseknél visszatérek.”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Küszöbforma:</w:t>
      </w:r>
      <w:r>
        <w:t xml:space="preserve"> a KKV-előny a hozzáférési csatorna erejétől függ, a modell csak a λ·ω szorzatot azonosítja.</w:t>
      </w:r>
      <w:r>
        <w:br/>
      </w:r>
      <w:r>
        <w:rPr>
          <w:i/>
        </w:rPr>
        <w:t xml:space="preserve">Egy mondat hozzá:</w:t>
      </w:r>
      <w:r>
        <w:t xml:space="preserve"> „A küszöb a χ-aszimmetriából jön, amit visszavontunk; szimmetrikus χ mellett az előny feltétel nélkül megjelenik, csak kicsi.”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Mit nem állítunk:</w:t>
      </w:r>
      <w:r>
        <w:t xml:space="preserve"> szegmens-kibocsátást pontbecslésként; az IO-alapú beszállítói számokat; hogy a KKV-k felára erősebben reagál (t_S &gt; t_L).</w:t>
      </w:r>
    </w:p>
    <w:p>
      <w:pPr>
        <w:pStyle w:val="Heading3"/>
      </w:pPr>
      <w:r>
        <w:t xml:space="preserve">0:25–1:10 · A modell blokkonként</w:t>
      </w:r>
    </w:p>
    <w:p>
      <w:pPr>
        <w:pStyle w:val="ListParagraph"/>
        <w:numPr>
          <w:ilvl w:val="0"/>
          <w:numId w:val="1"/>
        </w:numPr>
      </w:pPr>
      <w:r>
        <w:t xml:space="preserve">A szöveg a 3. részben van, a vetítési jelekkel ([ÁBRA]) és a kérdésekkel ([KÉRDÉS]).</w:t>
      </w:r>
    </w:p>
    <w:p>
      <w:pPr>
        <w:pStyle w:val="ListParagraph"/>
        <w:numPr>
          <w:ilvl w:val="0"/>
          <w:numId w:val="1"/>
        </w:numPr>
      </w:pPr>
      <w:r>
        <w:t xml:space="preserve">Kezdd a térképpel („A modell egy ábrán”): az euró három dolgot változtat meg (felárak, kamatpolitika, árfolyam), a külső környezet (külföldi kereslet, EKB-kamat) nem az euró következménye.</w:t>
      </w:r>
    </w:p>
    <w:p>
      <w:pPr>
        <w:pStyle w:val="ListParagraph"/>
        <w:numPr>
          <w:ilvl w:val="0"/>
          <w:numId w:val="1"/>
        </w:numPr>
      </w:pPr>
      <w:r>
        <w:t xml:space="preserve">Sorrend: monetáris unió → pénzügyi gyorsító → hitelhozzáférés → termelés → árak. Ez a transzmisszió sorrendje, nem a HTML blokkszámozása.</w:t>
      </w:r>
    </w:p>
    <w:p>
      <w:pPr>
        <w:pStyle w:val="ListParagraph"/>
        <w:numPr>
          <w:ilvl w:val="0"/>
          <w:numId w:val="1"/>
        </w:numPr>
      </w:pPr>
      <w:r>
        <w:t xml:space="preserve">Minden blokk végén egy kérdés; ha nincs válasz 20 másodpercen belül, mondd el a saját rövid válaszodat és lépj tovább.</w:t>
      </w:r>
    </w:p>
    <w:p>
      <w:pPr>
        <w:pStyle w:val="Heading3"/>
      </w:pPr>
      <w:r>
        <w:t xml:space="preserve">1:20–1:35 · Egy euró-forgatókönyv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Szcenárió:</w:t>
      </w:r>
      <w:r>
        <w:t xml:space="preserve"> 1–12. negyedév felkészülés forinttal; a 13.-tól közös monetáris politika; a 16. negyedévre −200 bp szuverén és −45 bp banki felár (évesítve).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f29</w:t>
      </w:r>
      <w:r>
        <w:t xml:space="preserve"> (alap, OPTEN=0, ACCSCALE=100, BK-érvényes): felárak → kamat és reálárfolyam (negyedéves százalékpontban!) → vállalati felár → hozzáférés → GDP. A tartós GDP-hatás itt +0,84%.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B42318"/>
        </w:rPr>
        <w:t xml:space="preserve">Kontraintuitív, előre mondd ki:</w:t>
      </w:r>
      <w:r>
        <w:rPr>
          <w:color w:val="B42318"/>
        </w:rPr>
        <w:t xml:space="preserve"> a GDP-pálya az első negyedévekben kb. −0,7%-kal indul, utána kb. 7 éves ciklusokban leng 0 és +1,5% között, nagyon lassan csillapodva. Ez a hozzáférési csatorna kalibrációjának gyenge pontja. A tartós szám a horizonttól független; a 80. negyedév utáni pálya nem értelmezhető.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f30:</w:t>
      </w:r>
      <w:r>
        <w:t xml:space="preserve"> KKV–nagyvállalat különbség két hozzáférési erősségen. Küszöb (OPTEN=0): ACCSCALE = 36,5. Alatta (18,3): tartósan −0,19 pp; felette (100): +1,42 pp.</w:t>
      </w:r>
    </w:p>
    <w:p>
      <w:pPr>
        <w:pStyle w:val="ListParagraph"/>
        <w:numPr>
          <w:ilvl w:val="0"/>
          <w:numId w:val="1"/>
        </w:numPr>
      </w:pPr>
      <w:r>
        <w:t xml:space="preserve">Minden ábra előtt: „Mit vártok?” — ez a vita motorja.</w:t>
      </w:r>
    </w:p>
    <w:p>
      <w:pPr>
        <w:pStyle w:val="Heading3"/>
      </w:pPr>
      <w:r>
        <w:t xml:space="preserve">1:35–1:50 · Mi hajtja a KKV-eredményt?</w:t>
      </w:r>
    </w:p>
    <w:p>
      <w:pPr>
        <w:pStyle w:val="ListParagraph"/>
        <w:numPr>
          <w:ilvl w:val="0"/>
          <w:numId w:val="1"/>
        </w:numPr>
      </w:pPr>
      <w:r>
        <w:t xml:space="preserve">A tábla előre kitöltve (docs/terv/2026-10-05_workshop_parameter_prioritas.md); a terem csak a prioritás oszlopot vitatja.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Előjelfordítók:</w:t>
      </w:r>
      <w:r>
        <w:t xml:space="preserve"> λ·ω (a küszöb), ε</w:t>
      </w:r>
      <w:r>
        <w:rPr>
          <w:vertAlign w:val="subscript"/>
        </w:rPr>
        <w:t xml:space="preserve">ces</w:t>
      </w:r>
      <w:r>
        <w:t xml:space="preserve"> (az export-KKV kibocsátásának előjele kb. 2,3-nál fordul), χ (a sorrend megfordítása a szegmenssorrendet fordítja). A ρ</w:t>
      </w:r>
      <w:r>
        <w:rPr>
          <w:vertAlign w:val="subscript"/>
        </w:rPr>
        <w:t xml:space="preserve">acc</w:t>
      </w:r>
      <w:r>
        <w:t xml:space="preserve"> a küszöb szintjét mozgatja.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Új tétel a táblán kívül:</w:t>
      </w:r>
      <w:r>
        <w:t xml:space="preserve"> ω</w:t>
      </w:r>
      <w:r>
        <w:rPr>
          <w:vertAlign w:val="subscript"/>
        </w:rPr>
        <w:t xml:space="preserve">nw</w:t>
      </w:r>
      <w:r>
        <w:t xml:space="preserve"> (nettóvagyon-perzisztencia) — a GDP-sáv szintjét mozgatja.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Záró kérdés:</w:t>
      </w:r>
      <w:r>
        <w:t xml:space="preserve"> „Ha egyetlen paramétert mérhetnénk meg tökéletesen, melyik lenne az?”</w:t>
      </w:r>
    </w:p>
    <w:p>
      <w:pPr>
        <w:pStyle w:val="Heading3"/>
      </w:pPr>
      <w:r>
        <w:t xml:space="preserve">1:57–2:08 · Bírálói kör</w:t>
      </w:r>
    </w:p>
    <w:p>
      <w:pPr>
        <w:pStyle w:val="ListParagraph"/>
        <w:numPr>
          <w:ilvl w:val="0"/>
          <w:numId w:val="1"/>
        </w:numPr>
      </w:pPr>
      <w:r>
        <w:t xml:space="preserve">Mindenki ugyanarra a négy kérdésre felel: legerősebb rész · legsúlyosabb kifogás · melyik állítást nem engedné még publikálni · milyen teszt győzné meg.</w:t>
      </w:r>
    </w:p>
    <w:p>
      <w:pPr>
        <w:pStyle w:val="ListParagraph"/>
        <w:numPr>
          <w:ilvl w:val="0"/>
          <w:numId w:val="1"/>
        </w:numPr>
      </w:pPr>
      <w:r>
        <w:t xml:space="preserve">Nem vitatjuk azonnal. A végén négy típusba soroljuk: valódi modellhiba · gyenge kalibráció · hiányzó mechanizmus · kommunikációs/túlinterpretálási probléma.</w:t>
      </w:r>
    </w:p>
    <w:p>
      <w:pPr>
        <w:pStyle w:val="Heading3"/>
      </w:pPr>
      <w:r>
        <w:t xml:space="preserve">2:08–2:15 · Döntések és lezárás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Három állítás, ami most védhető:</w:t>
      </w:r>
      <w:r>
        <w:t xml:space="preserve"> (1) a tartós GDP-hatás minden vizsgált konfigurációban pozitív; (2) a modell a hozzáférési csatornát csak a λ·ω szorzaton keresztül azonosítja; (3) a v10 külföldi csatornája technikailag helyes (31/31 ellenőrzés).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Három, ami csak feltételes:</w:t>
      </w:r>
      <w:r>
        <w:t xml:space="preserve"> a KKV-küszöb (a χ-aszimmetriától függ); a GDP-sáv szintje (ω</w:t>
      </w:r>
      <w:r>
        <w:rPr>
          <w:vertAlign w:val="subscript"/>
        </w:rPr>
        <w:t xml:space="preserve">nw</w:t>
      </w:r>
      <w:r>
        <w:t xml:space="preserve">-függő); hogy a hatás a szuverén csatornán megy (első negyedéves mérés).</w:t>
      </w:r>
    </w:p>
    <w:p>
      <w:pPr>
        <w:pStyle w:val="ListParagraph"/>
        <w:numPr>
          <w:ilvl w:val="0"/>
          <w:numId w:val="1"/>
        </w:numPr>
      </w:pPr>
      <w:r>
        <w:t xml:space="preserve">Döntési tábla: következő modellteszt, következő adatbeszerzés — felelős, határidő.</w:t>
      </w:r>
    </w:p>
    <w:p>
      <w:pPr>
        <w:pStyle w:val="Heading3"/>
      </w:pPr>
      <w:r>
        <w:t xml:space="preserve">Várható kérdések — rövid válaszok</w:t>
      </w:r>
    </w:p>
    <w:tbl>
      <w:tblPr>
        <w:tblW w:w="9638" w:type="dxa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left w:w="80" w:type="dxa"/>
          <w:right w:w="80" w:type="dxa"/>
        </w:tblCellMar>
      </w:tblPr>
      <w:tblGrid>
        <w:gridCol w:w="3000"/>
        <w:gridCol w:w="6638"/>
      </w:tblGrid>
      <w:tr>
        <w:tc>
          <w:tcPr>
            <w:tcW w:w="3000" w:type="dxa"/>
            <w:shd w:val="clear" w:color="auto" w:fill="E3EBFF"/>
          </w:tcPr>
          <w:p>
            <w:pPr>
              <w:pStyle w:val="TableText"/>
            </w:pPr>
            <w:r>
              <w:rPr>
                <w:b/>
              </w:rPr>
              <w:t xml:space="preserve">Kérdés</w:t>
            </w:r>
          </w:p>
        </w:tc>
        <w:tc>
          <w:tcPr>
            <w:tcW w:w="6638" w:type="dxa"/>
            <w:shd w:val="clear" w:color="auto" w:fill="E3EBFF"/>
          </w:tcPr>
          <w:p>
            <w:pPr>
              <w:pStyle w:val="TableText"/>
            </w:pPr>
            <w:r>
              <w:rPr>
                <w:b/>
              </w:rPr>
              <w:t xml:space="preserve">Válasz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Miért tökéletes előrelátás?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A csatlakozás időpontja és a felárpálya előre bejelentett; a kérdés az, hogyan reagál a gazdaság egy ismert átmenetre. A bizonytalanságot forgatókönyvekkel (alap/optimista/pesszimista) kezeljük, nem sztochasztikusan.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Egy lineáris modell elég egy ekkora rezsimváltáshoz?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A tartós értékek a log-lineáris rendszer fixpontjai; nagy, permanens változásnál ez közelítés, a pontosságát nem mértük. Ezért sávot és feltételeket közlünk, nem pontszámot.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Honnan jön a −200 bp?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Kalibrált kontrafaktuális, nincs még horgonya — ez az 1. nyitott kérdés.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Akkor a KKV-k nyernek vagy nem?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Feltételesen: ha a hozzáférési csatorna elég erős, igen. Hogy ez a feltétel a χ-aszimmetriából jön-e, az most derült ki — szimmetrikus χ mellett kicsi, de feltétel nélküli előny.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Mi az az ACCSCALE?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A hozzáférési csatorna két rugalmasságának (λ, ω) közös skálázója, az átvett kalibráció százalékában. A modell csak a szorzatukat azonosítja.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Miért hullámzik a GDP?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Az egységkörhöz közeli komplex gyök miatt, ami csak bekapcsolt hozzáférési csatornával jelenik meg. Gyenge pont, vizsgáljuk.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Euróban miért nem 1:1 az EKB-kamat átgyűrűzése?</w:t>
            </w:r>
          </w:p>
        </w:tc>
        <w:tc>
          <w:tcPr>
            <w:tcW w:w="6638" w:type="dxa"/>
          </w:tcPr>
          <w:p>
            <w:pPr>
              <w:pStyle w:val="TableText"/>
            </w:pPr>
            <w:r>
              <w:t xml:space="preserve">Egy technikai zárás (ν = 0,25) a külső pozíción keresztül visszahúzza; becsapódáskor kb. 0,7. Nem közöljük eredményként.</w:t>
            </w:r>
          </w:p>
        </w:tc>
      </w:tr>
    </w:tbl>
    <w:p/>
    <w:p>
      <w:pPr>
        <w:pStyle w:val="Heading3"/>
      </w:pPr>
      <w:r>
        <w:t xml:space="preserve">Amit ne mondj</w:t>
      </w:r>
    </w:p>
    <w:p>
      <w:pPr>
        <w:pStyle w:val="ListParagraph"/>
        <w:numPr>
          <w:ilvl w:val="0"/>
          <w:numId w:val="1"/>
        </w:numPr>
      </w:pPr>
      <w:r>
        <w:t xml:space="preserve">„13-szor nagyobb eséllyel fér hozzá hitelhez” — helyette: bankhitellel rendelkezők aránya.</w:t>
      </w:r>
    </w:p>
    <w:p>
      <w:pPr>
        <w:pStyle w:val="ListParagraph"/>
        <w:numPr>
          <w:ilvl w:val="0"/>
          <w:numId w:val="1"/>
        </w:numPr>
      </w:pPr>
      <w:r>
        <w:t xml:space="preserve">Szegmens-kibocsátást pontbecslésként (pl. „a hazai KKV kibocsátása X%-kal nő”).</w:t>
      </w:r>
    </w:p>
    <w:p>
      <w:pPr>
        <w:pStyle w:val="ListParagraph"/>
        <w:numPr>
          <w:ilvl w:val="0"/>
          <w:numId w:val="1"/>
        </w:numPr>
      </w:pPr>
      <w:r>
        <w:t xml:space="preserve">„A KKV-eredmény nem a kalibráció műterméke” — helyette: a közvetlen technológiai különbség nem a fő mozgató (az aszimmetrikus χ mellett mérve).</w:t>
      </w:r>
    </w:p>
    <w:p>
      <w:pPr>
        <w:pStyle w:val="ListParagraph"/>
        <w:numPr>
          <w:ilvl w:val="0"/>
          <w:numId w:val="1"/>
        </w:numPr>
      </w:pPr>
      <w:r>
        <w:t xml:space="preserve">„A GDP-hatás +0,52 … +1,18%” — az ω</w:t>
      </w:r>
      <w:r>
        <w:rPr>
          <w:vertAlign w:val="subscript"/>
        </w:rPr>
        <w:t xml:space="preserve">nw</w:t>
      </w:r>
      <w:r>
        <w:t xml:space="preserve">-függés említése nélkül.</w:t>
      </w:r>
    </w:p>
    <w:p>
      <w:pPr>
        <w:pStyle w:val="ListParagraph"/>
        <w:numPr>
          <w:ilvl w:val="0"/>
          <w:numId w:val="1"/>
        </w:numPr>
      </w:pPr>
      <w:r>
        <w:t xml:space="preserve">A v11 részleteit (W0b, nettóvagyon-egyenlet, pólus) — ezek nem tartoznak a workshopra; ha rákérdeznek: „vizsgáljuk, a következő verzióban jön”.</w:t>
      </w:r>
    </w:p>
    <w:p>
      <w:pPr>
        <w:pStyle w:val="Heading2"/>
      </w:pPr>
      <w:r>
        <w:t xml:space="preserve">3. Szó szerinti szöveg (kb. 24 perc beszéd; vetítéssel és kérdésekkel kb. 35 perc)</w:t>
      </w:r>
    </w:p>
    <w:p>
      <w:pPr>
        <w:pStyle w:val="Normal"/>
      </w:pPr>
      <w:r>
        <w:rPr>
          <w:color w:val="444444"/>
          <w:sz w:val="19"/>
        </w:rPr>
        <w:t xml:space="preserve">Tempó: kb. 120 szó/perc. Dőlt, barna sor = vetítési jel; kék = kérdés a teremnek. A blokkok a transzmisszió sorrendjében.</w:t>
      </w:r>
    </w:p>
    <w:p>
      <w:pPr>
        <w:pStyle w:val="Heading3"/>
      </w:pPr>
      <w:r>
        <w:t xml:space="preserve">3.1 Monetáris unió (kb. 5 perc beszéd)</w:t>
      </w:r>
    </w:p>
    <w:p>
      <w:pPr>
        <w:pStyle w:val="Normal"/>
      </w:pPr>
      <w:r>
        <w:rPr>
          <w:i/>
          <w:color w:val="6B4E00"/>
        </w:rPr>
        <w:t xml:space="preserve">[ÁBRA: „A modell egy ábrán”, utána a 7. blokk]</w:t>
      </w:r>
    </w:p>
    <w:p>
      <w:pPr>
        <w:pStyle w:val="Normal"/>
      </w:pPr>
      <w:r>
        <w:t xml:space="preserve">Kezdjük ott, ahol az euró ténylegesen belép a modellbe: a monetáris rezsimnél. Ez a blokk tartalmazza magát a rezsimváltást, és ha ezt megértjük, a többi blokk sokkal könnyebben követhető.</w:t>
      </w:r>
    </w:p>
    <w:p>
      <w:pPr>
        <w:pStyle w:val="Normal"/>
      </w:pPr>
      <w:r>
        <w:t xml:space="preserve">A modellben van egy kapcsoló, u. Amíg forint van, az értéke nulla; a csatlakozás negyedévétől, a tizenharmadiktól, egy. A trükk az, hogy mindkét rezsim egyenletei végig benne vannak a modellben, és a kapcsoló dönti el, melyik fele érvényes. Így ugyanazzal a modellel, ugyanazokkal a paraméterekkel számoljuk a forintos és az eurós világot, és a kettő közti különbség tisztán a rezsimből jön.</w:t>
      </w:r>
    </w:p>
    <w:p>
      <w:pPr>
        <w:pStyle w:val="Normal"/>
      </w:pPr>
      <w:r>
        <w:rPr>
          <w:i/>
          <w:color w:val="6B4E00"/>
        </w:rPr>
        <w:t xml:space="preserve">[ÁBRA: 7a, a két rezsim egymás mellett]</w:t>
      </w:r>
    </w:p>
    <w:p>
      <w:pPr>
        <w:pStyle w:val="Normal"/>
      </w:pPr>
      <w:r>
        <w:t xml:space="preserve">Forintban két egyenlet dolgozik. Az első a Taylor-szabály: a jegybank az infláció alapján állítja a kamatot, simítva. A becsült értékek szerint rövid távon egy százalékpont infláció nagyjából 0,33 pont kamatemelést vált ki, hosszú távon 1,38-at. Mivel ez több mint egy, a reálkamat is nő, amikor az infláció nő. Ez a Taylor-elv, és ez tartja kordában a forintrezsimet. A második egyenlet a kamatparitás: a hazai és a külföldi befektetés várható hozama a kockázati felárral korrigálva megegyezik. Ha a hazai kamat magasabb, a piac a forint jövőbeli gyengülésére számít. Ebben a rezsimben tehát a kamat is és az árfolyam is mozoghat, és mindkettő segít alkalmazkodni egy sokkhoz.</w:t>
      </w:r>
    </w:p>
    <w:p>
      <w:pPr>
        <w:pStyle w:val="Normal"/>
      </w:pPr>
      <w:r>
        <w:t xml:space="preserve">Euróban mindez megszűnik. Nincs saját kamatpolitika: a hazai kamat a közös kamatot és a szuverén felár egy részét követi. És nincs árfolyam: a nominális leértékelés nulla. Ami alkalmazkodik, az csak a hazai árak és bérek. Erre az áraknál visszatérünk, mert ez lassú.</w:t>
      </w:r>
    </w:p>
    <w:p>
      <w:pPr>
        <w:pStyle w:val="Normal"/>
      </w:pPr>
      <w:r>
        <w:t xml:space="preserve">Két számot érdemes ebből a blokkból megjegyezni. Az egyik a z</w:t>
      </w:r>
      <w:r>
        <w:rPr>
          <w:vertAlign w:val="subscript"/>
        </w:rPr>
        <w:t xml:space="preserve">sov</w:t>
      </w:r>
      <w:r>
        <w:t xml:space="preserve">: ez mondja meg, a szuverén felár mekkora része jelenik meg a hazai kamatban. Most 0,5. Ez azt jelenti, hogy a −200 bázispontos szuverén felárcsökkenésből euróban nagyjából −100 bázispont jut a hazai kamatra. Ez nem modelleredmény, hanem az egyenlet közvetlen olvasata, de megmutatja, hogy a kamatcsatorna ereje egyenesen arányos ezzel a paraméterrel. És ez a paraméter nincs horgonyozva.</w:t>
      </w:r>
    </w:p>
    <w:p>
      <w:pPr>
        <w:pStyle w:val="Normal"/>
      </w:pPr>
      <w:r>
        <w:t xml:space="preserve">A másik egy technikai paraméter, a ν. Valamivel le kell zárni a külső pozíciót, különben a nettó külföldi eszközállománynak nem lenne egyértelmű hosszú távú szintje. Forintban ez a zárás nagyon gyenge, 0,001, mert az árfolyam is stabilizál. Euróban 0,25, vagyis kétszázötvenszer erősebb, mert ott az árfolyam nem segít. Ezt a 0,25-öt eredetileg részben úgy választották, hogy egy korábbi modellverzió eredményét visszaadja. Ez nem jó gyakorlat, és át fogjuk nézni.</w:t>
      </w:r>
    </w:p>
    <w:p>
      <w:pPr>
        <w:pStyle w:val="Normal"/>
      </w:pPr>
      <w:r>
        <w:t xml:space="preserve">Ezzel függ össze egy kontraintuitív eredmény. Valutaunióban azt várnánk, hogy ha az EKB 25 bázisponttal emel, az egy az egyben megjelenik a hazai kamatban. A modellben becsapódáskor csak nagyjából hetven százaléka. Az ok épp ez a technikai zárás: a kamatemelés még abban a negyedévben javítja a külkereskedelmi mérleget, a külső pozíció javul, és ez visszahúzza a kamatot. Vagyis egy technikai paraméter viszi az EKB-átgyűrűzés közel harmadát. Ezt ezért nem közöljük eredményként.</w:t>
      </w:r>
    </w:p>
    <w:p>
      <w:pPr>
        <w:pStyle w:val="Normal"/>
      </w:pPr>
      <w:r>
        <w:t xml:space="preserve">Végül két tankönyvi következmény, ami a modell egyenleteiben benne van. Az első: euróban a reálkamat procikikus. A döntéseket a reálkamat viszi; ha a közös nominális kamat mellett a hazai infláció nő, a reálkamat csökken, és ez tovább fűti a keresletet. Ez a Walters-kritika. A második: az átmenetet a szereplők előre árazzák. Tökéletes előrelátás mellett mindenki tudja az első negyedévtől, hogy a tizenharmadikban rögzül az árfolyam. Átváltási árfolyamot a modell nem ír elő: az árfolyam oda rögzül, ahová a lebegő szakasz végére eljut.</w:t>
      </w:r>
    </w:p>
    <w:p>
      <w:pPr>
        <w:pStyle w:val="Normal"/>
      </w:pPr>
      <w:r>
        <w:rPr>
          <w:b/>
          <w:color w:val="1D4ED8"/>
        </w:rPr>
        <w:t xml:space="preserve">[KÉRDÉS] Hallgatóknak: miért kell euróban sokkal erősebb külső zárás, mint forintban? Szakértőknek: jó közelítése-e a BUBOR–EURIBOR különbözet annak, ami euróban a szuverén felárból megmarad?</w:t>
      </w:r>
    </w:p>
    <w:p>
      <w:pPr>
        <w:pStyle w:val="Heading3"/>
      </w:pPr>
      <w:r>
        <w:t xml:space="preserve">3.2 Pénzügyi gyorsító (kb. 5 perc beszéd)</w:t>
      </w:r>
    </w:p>
    <w:p>
      <w:pPr>
        <w:pStyle w:val="Normal"/>
      </w:pPr>
      <w:r>
        <w:rPr>
          <w:i/>
          <w:color w:val="6B4E00"/>
        </w:rPr>
        <w:t xml:space="preserve">[ÁBRA: 2. blokk]</w:t>
      </w:r>
    </w:p>
    <w:p>
      <w:pPr>
        <w:pStyle w:val="Normal"/>
      </w:pPr>
      <w:r>
        <w:t xml:space="preserve">Az euró második belépési pontja a felár. Ez a modell pénzügyi szíve: a Bernanke–Gertler–Gilchrist-féle pénzügyi gyorsító, típusonként.</w:t>
      </w:r>
    </w:p>
    <w:p>
      <w:pPr>
        <w:pStyle w:val="Normal"/>
      </w:pPr>
      <w:r>
        <w:t xml:space="preserve">Az alapgondolat egyszerű. A bank nem látja pontosan, mennyire jó egy cég projektje, ezért felárat kér. A felár annál kisebb, minél több saját tőkét tesz a cég a hitel mellé. Ebből önerősítő kör lesz: ha a cég jól jár, nő a saját tőkéje, csökken a felára, olcsóbban fektet be, és ettől még jobban jár. Ettől „gyorsító”.</w:t>
      </w:r>
    </w:p>
    <w:p>
      <w:pPr>
        <w:pStyle w:val="Normal"/>
      </w:pPr>
      <w:r>
        <w:rPr>
          <w:i/>
          <w:color w:val="6B4E00"/>
        </w:rPr>
        <w:t xml:space="preserve">[ÁBRA: 2a, a tőke hozama és a felár]</w:t>
      </w:r>
    </w:p>
    <w:p>
      <w:pPr>
        <w:pStyle w:val="Normal"/>
      </w:pPr>
      <w:r>
        <w:t xml:space="preserve">Két egyenlet viszi a mechanizmust. Az első a tőke negyedéves hozama: a működésből jövő tőkehozam és a tőke értékének változása. A tőke értékét itt Tobin-féle q-nak hívjuk: azt mutatja, mennyit ér a piacon egy egység beépített tőke. A második egyenlet a befektetői feltétel: a tőkének várhatóan annyit kell hoznia, mint a biztonságos reálkamat, plusz a külső finanszírozási felár. Ha a felár csökken, kisebb hozam is elég. Ugyanaz a tőke tehát többet ér, a q nő, és megéri többet befektetni. Ez az a pont, ahol egy pénzügyi változás, a felár, reálgazdasági döntéssé, beruházássá válik.</w:t>
      </w:r>
    </w:p>
    <w:p>
      <w:pPr>
        <w:pStyle w:val="Normal"/>
      </w:pPr>
      <w:r>
        <w:rPr>
          <w:i/>
          <w:color w:val="6B4E00"/>
        </w:rPr>
        <w:t xml:space="preserve">[ÁBRA: 2b, a felár három része]</w:t>
      </w:r>
    </w:p>
    <w:p>
      <w:pPr>
        <w:pStyle w:val="Normal"/>
      </w:pPr>
      <w:r>
        <w:t xml:space="preserve">A modellben a felár három részből áll. Az első a mérlegből jön: mennyire tőkeáttételes a cég a megszokotthoz képest, és erre mennyire érzékeny a bank. Ezt méri a χ. A másik kettő az euróval csökkenő szuverén és banki felár, típusonként továbbítva. Itt lép be közvetlenül az euró a vállalati finanszírozásba. Az alapágban a −200 bázispontos szuverén és a −45 bázispontos banki felárcsökkenésből közvetlenül nagyjából −55 bázispont jut minden típus felárára. Ez az első kör; a típusok közti különbség a mérlegtagból és a gyorsítóból jön.</w:t>
      </w:r>
    </w:p>
    <w:p>
      <w:pPr>
        <w:pStyle w:val="Normal"/>
      </w:pPr>
      <w:r>
        <w:t xml:space="preserve">A gyorsító erejét két típusonkénti paraméter adja. A χ azt mondja meg, mennyire reagál a felár a mérlegre. A tőkeáttétel pedig azt, mennyire reagál a mérleg a hozamra: ha egy cég eszközei a saját tőkéje 1,6-szorosát teszik ki, egy százalék többlethozam a saját tőkéjét nagyjából 1,6 százalékkal növeli.</w:t>
      </w:r>
    </w:p>
    <w:p>
      <w:pPr>
        <w:pStyle w:val="Normal"/>
      </w:pPr>
      <w:r>
        <w:t xml:space="preserve">Pontosan ezen a két paraméteren ül a projekt két ismert alapértelmezés-konfliktusa, és ezt őszintén el kell mondanom. Az alapág a χ-nél 0,06-ot futtat a két KKV-típusra és 0,02-t a nagyvállalatra. Ezt a háromszoros aszimmetriát a saját regiszterünk visszavonta, mert nincs forrása, az alapág mégis ezt futtatja. A tőkeáttételnél fordítva: az Opten-adat szerint az exportáló KKV tőkeáttételesebb, mint a hazai, 1,94 szemben 1,72-vel, az alapág mégis mindkettőre 1,6-ot használ. Mindkét csere csapatdöntés, ezért nem nyúltunk hozzá csendben, hanem látható helyen tartjuk.</w:t>
      </w:r>
    </w:p>
    <w:p>
      <w:pPr>
        <w:pStyle w:val="Normal"/>
      </w:pPr>
      <w:r>
        <w:t xml:space="preserve">A χ-aszimmetria nem formai kérdés. Egy friss mérés szerint, ha a χ mindhárom típusnál azonos, a KKV-k tartós kibocsátás-előnye hozzáférési csatorna nélkül is pozitív. Vagyis a háromszoros aszimmetria az, ami a KKV-kat hátrányba hozza, és amit a hozzáférési csatornának le kell dolgoznia. Erre a nyitott kérdéseknél visszatérek.</w:t>
      </w:r>
    </w:p>
    <w:p>
      <w:pPr>
        <w:pStyle w:val="Normal"/>
      </w:pPr>
      <w:r>
        <w:t xml:space="preserve">Hogy miért hozza hátrányba, az kontraintuitív. A jelenlegi modellben hosszú távon a gyorsító fékez. A tartós egyensúlyban a saját tőke a felárral arányos, ezért ha a felár tartósan csökken, a saját tőke is csökken, a tőkeáttétel nő, és a χ-tag a felárcsökkenés egy részét visszaveszi. Az alapágban az export-KKV-nál a közvetlen felárcsökkenésnek csak nagyjából a negyede marad meg, a nagyvállalatnál a fele. Ezért a nagyobb χ a KKV-t bünteti. Egy fontos megszorítás: ez a modell egyszerűsített nettóvagyon-egyenletének tulajdonsága, és épp most vizsgáljuk, hogy egy teljesebb egyenlettel is így viselkedne-e. Az „euró, jobb mérleg, olcsóbb hitel” történet az átmenetre biztosan igaz; a tartós hatásra ezt még nem tudjuk.</w:t>
      </w:r>
    </w:p>
    <w:p>
      <w:pPr>
        <w:pStyle w:val="Normal"/>
      </w:pPr>
      <w:r>
        <w:t xml:space="preserve">Még egy dolog. A banki átgyűrűzés irányában az irodalom és a saját mérésünk ellentmond. Az euróövezeti irodalom szerint a kamattranszmisszió a kisvállalati hitelekre teljesebb; a magyar panelen a pontbecslés a nagyvállalatnál magasabb, csak nem szignifikánsan. Hogy a csatlakozás után melyik mintázat érvényes, az a banki csatorna irányát dönti el.</w:t>
      </w:r>
    </w:p>
    <w:p>
      <w:pPr>
        <w:pStyle w:val="Normal"/>
      </w:pPr>
      <w:r>
        <w:rPr>
          <w:b/>
          <w:color w:val="1D4ED8"/>
        </w:rPr>
        <w:t xml:space="preserve">[KÉRDÉS] Hallgatóknak: miért lenne egy kisvállalat felára érzékenyebb a tőkeáttételre? Mi szól mellette, és mi ellene? Szakértőknek: ha nincs méret szerinti becslés, a szimmetrikus χ a védhetőbb alapértelmezés?</w:t>
      </w:r>
    </w:p>
    <w:p>
      <w:pPr>
        <w:pStyle w:val="Heading3"/>
      </w:pPr>
      <w:r>
        <w:t xml:space="preserve">3.3 Hitelhozzáférés (kb. 5 perc beszéd)</w:t>
      </w:r>
    </w:p>
    <w:p>
      <w:pPr>
        <w:pStyle w:val="Normal"/>
      </w:pPr>
      <w:r>
        <w:rPr>
          <w:i/>
          <w:color w:val="6B4E00"/>
        </w:rPr>
        <w:t xml:space="preserve">[ÁBRA: 3. blokk]</w:t>
      </w:r>
    </w:p>
    <w:p>
      <w:pPr>
        <w:pStyle w:val="Normal"/>
      </w:pPr>
      <w:r>
        <w:t xml:space="preserve">A gyorsító azt írja le, mennyibe kerül a hitel annak, aki kap. A következő blokk azt, hogy hány cég jut egyáltalán hitelhez. Ez az extenzív margó, és ezen múlik a KKV-előny nagysága.</w:t>
      </w:r>
    </w:p>
    <w:p>
      <w:pPr>
        <w:pStyle w:val="Normal"/>
      </w:pPr>
      <w:r>
        <w:t xml:space="preserve">A különbséget egy példával a legkönnyebb látni. Gondoljunk száz kisvállalatra. Közülük mondjuk tíznek van bankhitele. Ha a felár csökken, ezeknek a hitele olcsóbb lesz: ez az intenzív margó, ezt írja le a gyorsító. De ha a felár elég sokat csökken, a maradék kilencvenből néhány cég is átlépi azt a határt, amely felett a bank már hitelt ad neki. Ezek a cégek eddig egyáltalán nem tudtak hitelből beruházni, most tudnak. Ez az extenzív margó, és a KKV-knál várhatóan ez a nagyobb hatás, mert náluk sokkal több cég van a határ közelében.</w:t>
      </w:r>
    </w:p>
    <w:p>
      <w:pPr>
        <w:pStyle w:val="Normal"/>
      </w:pPr>
      <w:r>
        <w:t xml:space="preserve">Először egy adat, mert könnyű félreérteni. Az export-KKV-k 61,9 százalékának volt bankhitele, a hazai KKV-knak csak 4,8 százalékának, a nagyvállalatoknak 43,4 százalékának. Ez erős leíró különbség, de nem azt jelenti, hogy az export-KKV tizenháromszor nagyobb eséllyel kap hitelt. A hitelkeresletet nem látjuk: egy nagyvállalatnak lehet, hogy egyszerűen nincs szüksége bankhitelre, mert belső vagy anyavállalati forrásból finanszíroz.</w:t>
      </w:r>
    </w:p>
    <w:p>
      <w:pPr>
        <w:pStyle w:val="Normal"/>
      </w:pPr>
      <w:r>
        <w:rPr>
          <w:i/>
          <w:color w:val="6B4E00"/>
        </w:rPr>
        <w:t xml:space="preserve">[ÁBRA: 3a, a szorzó-táblázat]</w:t>
      </w:r>
    </w:p>
    <w:p>
      <w:pPr>
        <w:pStyle w:val="Normal"/>
      </w:pPr>
      <w:r>
        <w:t xml:space="preserve">A modellben a hozzáférés akkor javul, ha a felár csökken, egy λ erősségű rugalmassággal, és a javulás nem tűnik el azonnal: ρ perzisztenciával megmarad. Egy tartós felárcsökkenés ezért negyedévről negyedévre gyűlik. Hosszú távon a hatás a közvetlen hatás egy per egy mínusz ρ-szorosa. Az alapágban ρ 0,85, a szorzó 6,7. Intuitívan: minden negyedévben a korábbi javulás 85 százaléka megmarad, és hozzájön az aznapi. Ha ez a megmaradó arány közel van az egyhez, a javulások szinte teljesen felhalmozódnak, és a szorzó nagyon gyorsan nő. Ha ρ 0,9673 lenne — ez egy leíró cégstatisztikából jön —, a szorzó 30,6. Ilyen paraméternél egyetlen pontot közölni félrevezető, ezért a teljes tartományt scanneljük.</w:t>
      </w:r>
    </w:p>
    <w:p>
      <w:pPr>
        <w:pStyle w:val="Normal"/>
      </w:pPr>
      <w:r>
        <w:t xml:space="preserve">A jobb hozzáférés a beruházásba megy, ω erősséggel, és onnan a tőkébe. A tőke lassan épül: negyedévente a beruházás 2,5 százaléka, így a tőkerés felezési ideje közel hét év. A hozzáférési csatorna hatása ezért évek alatt bontakozik ki.</w:t>
      </w:r>
    </w:p>
    <w:p>
      <w:pPr>
        <w:pStyle w:val="Normal"/>
      </w:pPr>
      <w:r>
        <w:rPr>
          <w:i/>
          <w:color w:val="6B4E00"/>
        </w:rPr>
        <w:t xml:space="preserve">[ÁBRA: 3c, a levezetés]</w:t>
      </w:r>
    </w:p>
    <w:p>
      <w:pPr>
        <w:pStyle w:val="Normal"/>
      </w:pPr>
      <w:r>
        <w:t xml:space="preserve">Most jön a legfontosabb szerkezeti eredmény. A hozzáférés a modellben csak a beruházási egyenletben szerepel. Ha visszafelé kifejtjük, a beruházás csak a λ és az ω szorzatát látja, a két tényezőt külön soha. Ha λ-t megduplázzuk és ω-t megfelezzük, a pálya számjegyre azonos. A numerikus scan is pontosan ezt mérte. Ebből két dolog következik. Egy: a KKV-előny határa egy izo-szorzat görbe, nem két külön küszöb. Kettő: a két tényező szétválasztásához magát a hozzáférést kellene megfigyelni, a felártól és a beruházástól függetlenül.</w:t>
      </w:r>
    </w:p>
    <w:p>
      <w:pPr>
        <w:pStyle w:val="Normal"/>
      </w:pPr>
      <w:r>
        <w:t xml:space="preserve">Miért nem mérjük meg egyszerűen? Mert 2021 és 2024 között a KKV-hitelpiac programvezérelt volt. A BUBOR 12,8 pontot mozgott, a bankhitellel rendelkező cégek aránya legfeljebb 2,2 pontot. A hazai KKV-k aránya a kamatcsúcs felé még nőtt is, mert épp akkor bővültek a támogatott programok. Ebből az időszakból a csatorna strukturális ereje nem azonosítható. És egy dolgot soha nem csinálunk: egy programértékelésből kapott „beruházás per hozzáférés” hányadost nem nevezzük át λ-szor ω-nak, mert az a program teljes finanszírozási hatását méri, nem a csatorna rugalmasságát.</w:t>
      </w:r>
    </w:p>
    <w:p>
      <w:pPr>
        <w:pStyle w:val="Normal"/>
      </w:pPr>
      <w:r>
        <w:t xml:space="preserve">Két gyenge pontot is elmondok. A beruházási kiigazítási költségnél a KKV-kra 8-at, a nagyvállalatra 13-at használunk, de az irodalom szerint a kis cégek beruházása rögösebb, ami fordított sorrendet sugall. És a nagyvállalatnak definíció szerint nincs hozzáférési margója. Az alacsonyabb bankhitel-arány ezt nem bizonyítja, de nem is cáfolja. Ha a nagyvállalatnak is van margója, a KKV-előny egy része eltűnhet.</w:t>
      </w:r>
    </w:p>
    <w:p>
      <w:pPr>
        <w:pStyle w:val="Normal"/>
      </w:pPr>
      <w:r>
        <w:rPr>
          <w:b/>
          <w:color w:val="1D4ED8"/>
        </w:rPr>
        <w:t xml:space="preserve">[KÉRDÉS] Szakértőknek: van-e olyan időszak, régió vagy cégcsoport, ahol a hozzáférés a piaci kamatra reagált, nem a programokra? Például a programokból kizárt ágazatok, vagy a jogosultsági küszöb körüli cégek?</w:t>
      </w:r>
    </w:p>
    <w:p>
      <w:pPr>
        <w:pStyle w:val="Heading3"/>
      </w:pPr>
      <w:r>
        <w:t xml:space="preserve">3.4 Termelés (kb. 4 perc beszéd)</w:t>
      </w:r>
    </w:p>
    <w:p>
      <w:pPr>
        <w:pStyle w:val="Normal"/>
      </w:pPr>
      <w:r>
        <w:rPr>
          <w:i/>
          <w:color w:val="6B4E00"/>
        </w:rPr>
        <w:t xml:space="preserve">[ÁBRA: 4. blokk]</w:t>
      </w:r>
    </w:p>
    <w:p>
      <w:pPr>
        <w:pStyle w:val="Normal"/>
      </w:pPr>
      <w:r>
        <w:t xml:space="preserve">A pénzügyi feltételek a termelésen keresztül érnek el a kibocsátásig. A termelési blokk négy kérdésre felel: miből gyárt egy típus, mennyibe kerül neki egy további egység, mennyi tőke és munka kell hozzá, és kinek ad el.</w:t>
      </w:r>
    </w:p>
    <w:p>
      <w:pPr>
        <w:pStyle w:val="Normal"/>
      </w:pPr>
      <w:r>
        <w:t xml:space="preserve">Minden típus tőkéből, munkából és importból termel. A munkát és az importot először egy kompozittá keveri, aztán ezt a tőkével. A határköltség a tőkehozamból és a kompozit árából áll. Ha a forint reálértéken gyengül, az import drágul, és a határköltség annál jobban nő, minél importintenzívebb a típus.</w:t>
      </w:r>
    </w:p>
    <w:p>
      <w:pPr>
        <w:pStyle w:val="Normal"/>
      </w:pPr>
      <w:r>
        <w:rPr>
          <w:i/>
          <w:color w:val="6B4E00"/>
        </w:rPr>
        <w:t xml:space="preserve">[ÁBRA: 4a, a típustáblázat]</w:t>
      </w:r>
    </w:p>
    <w:p>
      <w:pPr>
        <w:pStyle w:val="Normal"/>
      </w:pPr>
      <w:r>
        <w:t xml:space="preserve">A jelenlegi kalibráció szerint az exportáló KKV importintenzitása 55 százalék, a hazai KKV-é 20, a nagyvállalaté 40. Ezek a Jakab–Világi-féle kétszektoros értékek átvitelei, nem saját mérések. A modell logikájában az export-KKV-nak természetes fedezete van: ha gyengül a forint, drágulnak az inputjai, de olcsóbbak a termékei külföldön. Euróban ez a csatorna gyengül. Hangsúlyozom: ez modellfeltevés, nem empirikus tanulság, mert a fedezet valódi erejéhez a devizanem és az árazás is számít.</w:t>
      </w:r>
    </w:p>
    <w:p>
      <w:pPr>
        <w:pStyle w:val="Normal"/>
      </w:pPr>
      <w:r>
        <w:t xml:space="preserve">A második lépés a tényezőkereslet. A tőke előre rögzített: amit ma használni lehet, azt tegnap kellett beruházni. Ha ma váratlanul nő a kereslet, a tőke nem tud követni, ezért a tőkehozam emelkedik. A tőkehozam tehát a kapacitáskihasználtság mérője, és ezen keresztül hat a pénzügy a határköltségre.</w:t>
      </w:r>
    </w:p>
    <w:p>
      <w:pPr>
        <w:pStyle w:val="Normal"/>
      </w:pPr>
      <w:r>
        <w:t xml:space="preserve">Harmadszor: minden típus mindkét piacon értékesít. A hazai piacon a hazai KKV a legnagyobb szereplő, közel a fele; az exportban a nagyvállalat, 58 százalék. Az export-KKV kicsi, a méretsúlya 18 százalék, mégis az export 36 százalékát adja. Egy fontos megjegyzés a definícióhoz: a csapat irányelve szerint export-KKV az, akinek az árbevétele legalább 50 százalékban export. Az itt látott Opten-számok még egy régebbi, „bármilyen pozitív export” definícióból jönnek, ezeket újra kell számolni.</w:t>
      </w:r>
    </w:p>
    <w:p>
      <w:pPr>
        <w:pStyle w:val="Normal"/>
      </w:pPr>
      <w:r>
        <w:t xml:space="preserve">Van egy negyedik elem is, a beszállítói kapcsolat. Az export egy része hazai beszállítóktól vett inputot tartalmaz, tehát ha nő az export, nő a hazai beszállítók iránti kereslet is. Ez elvben fontos csatorna lenne a hazai KKV-knak. Két paramétere azonban horgonyzatlan: a korábbi input-output alapú mérésünk nem áll meg, az ár-átgyűrűzés erősségére pedig nem találtunk becslést. Ezért az alapágban kicsi értékekkel fut, és a hazai kereslet nagyjából 3 százalékát adja. Ezt a csatornát ma nem tudjuk számszerűsíteni, és nem is állítunk róla semmit.</w:t>
      </w:r>
    </w:p>
    <w:p>
      <w:pPr>
        <w:pStyle w:val="Normal"/>
      </w:pPr>
      <w:r>
        <w:rPr>
          <w:i/>
          <w:color w:val="6B4E00"/>
        </w:rPr>
        <w:t xml:space="preserve">[ÁBRA: „Összerakva” lánc]</w:t>
      </w:r>
    </w:p>
    <w:p>
      <w:pPr>
        <w:pStyle w:val="Normal"/>
      </w:pPr>
      <w:r>
        <w:t xml:space="preserve">Összerakva a lánc: csökken a felár, nő a tőke értéke és a beruházás, lassan nő a tőkeállomány, csökken a tőkehozam és a határköltség, ebből lassan alacsonyabb relatív ár lesz, és az olcsóbb típus felé fordul a hazai kereslet. Ez a lánc magyarázza, miért évek alatt jön az euróhatás.</w:t>
      </w:r>
    </w:p>
    <w:p>
      <w:pPr>
        <w:pStyle w:val="Normal"/>
      </w:pPr>
      <w:r>
        <w:t xml:space="preserve">Egy megnyugtató eredmény ebből a blokkból: ha a három típus technológiai paramétereit teljesen kiegyenlítjük, a KKV-küszöb csak 3 százalékkal mozdul. A vizsgált esetben tehát nem a közvetlen technológiai különbség viszi az eredményt, hanem a pénzügyi blokk. Egy megszorítással: ezt a vitatott, aszimmetrikus χ mellett mértük.</w:t>
      </w:r>
    </w:p>
    <w:p>
      <w:pPr>
        <w:pStyle w:val="Normal"/>
      </w:pPr>
      <w:r>
        <w:rPr>
          <w:b/>
          <w:color w:val="1D4ED8"/>
        </w:rPr>
        <w:t xml:space="preserve">[KÉRDÉS] Hallgatóknak: miért a tőkehozam emelkedik, ha váratlanul nő a kereslet, és miért nem a tőkeállomány? Szakértőknek: melyik KSH- vagy Eurostat-táblából nyerhető ki a tőke- és importintenzitás méret és exportstátusz szerint?</w:t>
      </w:r>
    </w:p>
    <w:p>
      <w:pPr>
        <w:pStyle w:val="Heading3"/>
      </w:pPr>
      <w:r>
        <w:t xml:space="preserve">3.5 Árak és bérek (kb. 4 perc beszéd)</w:t>
      </w:r>
    </w:p>
    <w:p>
      <w:pPr>
        <w:pStyle w:val="Normal"/>
      </w:pPr>
      <w:r>
        <w:rPr>
          <w:i/>
          <w:color w:val="6B4E00"/>
        </w:rPr>
        <w:t xml:space="preserve">[ÁBRA: 5. blokk]</w:t>
      </w:r>
    </w:p>
    <w:p>
      <w:pPr>
        <w:pStyle w:val="Normal"/>
      </w:pPr>
      <w:r>
        <w:t xml:space="preserve">A New Keynesian modellek kulcsa, hogy az árak és a bérek nem igazodnak azonnal. Emiatt egy sokk után először a mennyiségek mozdulnak, az árak csak később. Ettől van hatása a kamatnak és a felárnak, és ettől függ, milyen gyorsan tud alkalmazkodni a gazdaság, ha euróban megszűnik az árfolyam.</w:t>
      </w:r>
    </w:p>
    <w:p>
      <w:pPr>
        <w:pStyle w:val="Normal"/>
      </w:pPr>
      <w:r>
        <w:rPr>
          <w:i/>
          <w:color w:val="6B4E00"/>
        </w:rPr>
        <w:t xml:space="preserve">[ÁBRA: 5a, Calvo-kalkulátor]</w:t>
      </w:r>
    </w:p>
    <w:p>
      <w:pPr>
        <w:pStyle w:val="Normal"/>
      </w:pPr>
      <w:r>
        <w:t xml:space="preserve">Minden típusnak saját Phillips-görbéje van. Az infláció nagyjából hetven százalékban a várt jövőbeli inflációt követi, harminc százalékban a múltbelit, a harmadik hajtóerő pedig a határköltség-rés. Ez utóbbi hatása kicsi. A becsült paraméter szerint egy cég egy adott negyedévben 92 százalék valószínűséggel nem áraz át, vagyis átlagosan 12,7 negyedévig, nagyjából három évig tartja az árát. Egy százalékos határköltség-rés negyedévente csak nagyjából 0,005 százalékpont inflációt okoz. Ez egy lapos Phillips-görbe.</w:t>
      </w:r>
    </w:p>
    <w:p>
      <w:pPr>
        <w:pStyle w:val="Normal"/>
      </w:pPr>
      <w:r>
        <w:rPr>
          <w:i/>
          <w:color w:val="6B4E00"/>
        </w:rPr>
        <w:t xml:space="preserve">[A csúszkát 0,75-re húzva: az ártartam egy évre esik, a meredekség tizenegyszeresére nő.]</w:t>
      </w:r>
    </w:p>
    <w:p>
      <w:pPr>
        <w:pStyle w:val="Normal"/>
      </w:pPr>
      <w:r>
        <w:t xml:space="preserve">A három típus ugyanazzal a Calvo-paraméterrel áraz. A köztük lévő árkülönbség tehát teljes egészében a határköltségből jön: a pénzügyi feltételekből és az import-kitettségből. Ez az a pont, ahol a pénzügyi előnyből árelőny lesz.</w:t>
      </w:r>
    </w:p>
    <w:p>
      <w:pPr>
        <w:pStyle w:val="Normal"/>
      </w:pPr>
      <w:r>
        <w:t xml:space="preserve">Egy technikai részlet, amit érdemes érteni. Minden típusnak van egy relatív ára: mennyivel drágább vagy olcsóbb az átlagos hazai árszintnél. A modell a súlyozott relatív árak összegét nullára köti. Ebből következik, hogy a hazai infláció a három típus inflációjának súlyozott átlaga, és ebben a hazai KKV súlya közel a fele, mert ő a legnagyobb szereplő a hazai piacon. Ez a kötés egy korábbi modellhibát is megszüntetett: naiv felírás mellett az árszint szabadon elsodródhatott volna.</w:t>
      </w:r>
    </w:p>
    <w:p>
      <w:pPr>
        <w:pStyle w:val="Normal"/>
      </w:pPr>
      <w:r>
        <w:t xml:space="preserve">A bérek a modellben rugalmasabbak az áraknál: az átlagos bértartam nagyjából 2,9 negyedév. A saját cégpanelünk még nagyobb mozgást mutat: 2023–24-ben a cégek 10,1 százaléka nominálisan csökkentette az átlagbért, csak 2,8 százalék fagyasztotta be, a medián emelés 11,6 százalék volt, és a csökkentés a mérettel ritkul. A modell bérgörbéje egyébként úgy működik, hogy a háztartás akkor kér béremelést, ha a munka „belső ára”, vagyis mennyit ér neki a szabadidő a fogyasztáshoz képest, a reálbér fölé kerül. Ez akkor történik, ha sokat dolgozik, vagy ha a fogyasztása a megszokott szint fölé nő. Óvatosan kezelendő: ez cégszintű átlagbér, amit összetételváltozás és létszámcsere is mozgat, tehát nem azonos a modell bérmerevségi paraméterével.</w:t>
      </w:r>
    </w:p>
    <w:p>
      <w:pPr>
        <w:pStyle w:val="Normal"/>
      </w:pPr>
      <w:r>
        <w:t xml:space="preserve">Miért döntő ez euróban? Forintban egy versenyképességi sokkot a nominális árfolyam egy lépésben korrigálhat. Euróban ez a szelep megszűnik, és a reálárfolyam csak úgy javulhat, ha a hazai infláció tartósan az euróövezeti alatt marad. Ez a belső leértékelés, és lapos Phillips-görbe mellett lassú. Ezért fontos a bérrugalmasság: ha a bérek gyorsan alkalmazkodnak, a határköltség és vele az ár is gyorsabban követi.</w:t>
      </w:r>
    </w:p>
    <w:p>
      <w:pPr>
        <w:pStyle w:val="Normal"/>
      </w:pPr>
      <w:r>
        <w:t xml:space="preserve">Egy gondolatkísérlettel zárom ezt a blokkot. Ha az árak teljesen rugalmasak lennének, a New Keynesian logika szerint a kamat és az árfolyam reálhatása nagyrészt eltűnne, és az euró hatását szinte csak a felárak reálcsatornája vinné. A ragadósság tehát nem technikai részlet, hanem az, ami a rezsimváltást egyáltalán érdekessé teszi.</w:t>
      </w:r>
    </w:p>
    <w:p>
      <w:pPr>
        <w:pStyle w:val="Normal"/>
      </w:pPr>
      <w:r>
        <w:rPr>
          <w:b/>
          <w:color w:val="1D4ED8"/>
        </w:rPr>
        <w:t xml:space="preserve">[KÉRDÉS] Hallgatóknak: ha a három típus ugyanazzal a paraméterrel áraz, honnan jön mégis a köztük lévő árkülönbség? Szakértőknek: egy magas inflációs időszak bérmérése mennyire vihető át egy alacsony inflációs euróövezeti környezetre?</w:t>
      </w:r>
    </w:p>
    <w:p>
      <w:pPr>
        <w:pStyle w:val="Heading3"/>
      </w:pPr>
      <w:r>
        <w:t xml:space="preserve">3.6 Nyitott kérdések (kb. 3 perc beszéd)</w:t>
      </w:r>
    </w:p>
    <w:p>
      <w:pPr>
        <w:pStyle w:val="Normal"/>
      </w:pPr>
      <w:r>
        <w:rPr>
          <w:i/>
          <w:color w:val="6B4E00"/>
        </w:rPr>
        <w:t xml:space="preserve">[ÁBRA: „Négy nyitott kérdés”]</w:t>
      </w:r>
    </w:p>
    <w:p>
      <w:pPr>
        <w:pStyle w:val="Normal"/>
      </w:pPr>
      <w:r>
        <w:t xml:space="preserve">Zárásként azt mondom el, mit nem tudunk még, és hol kérjük a segítségeteket. Öt nyitott kérdés van: az első négy az anyagban is szerepel, az ötödik az elmúlt napokban jött elő.</w:t>
      </w:r>
    </w:p>
    <w:p>
      <w:pPr>
        <w:pStyle w:val="Normal"/>
      </w:pPr>
      <w:r>
        <w:rPr>
          <w:b/>
        </w:rPr>
        <w:t xml:space="preserve">Egy: a −200 bázispont horgonya.</w:t>
      </w:r>
      <w:r>
        <w:t xml:space="preserve"> A szuverén felár csökkenése a forgatókönyv motorja, de jelenleg kalibrált, hivatkozás nélküli feltevés. Melyik csatlakozási tapasztalat, a szlovák, a balti vagy a horvát adná a legjobb horgonyt, és milyen módszerrel?</w:t>
      </w:r>
    </w:p>
    <w:p>
      <w:pPr>
        <w:pStyle w:val="Normal"/>
      </w:pPr>
      <w:r>
        <w:rPr>
          <w:b/>
        </w:rPr>
        <w:t xml:space="preserve">Kettő: a hozzáférési csatorna ereje, a λ-szor-ω szorzat.</w:t>
      </w:r>
      <w:r>
        <w:t xml:space="preserve"> A modell csak a szorzatot azonosítja, és a 2021–24-es adat programvezérelt. Van-e olyan kvázi-kísérlet, amely a csatorna strukturális erejét azonosítja, nem a program teljes finanszírozási hatását?</w:t>
      </w:r>
    </w:p>
    <w:p>
      <w:pPr>
        <w:pStyle w:val="Normal"/>
      </w:pPr>
      <w:r>
        <w:rPr>
          <w:b/>
        </w:rPr>
        <w:t xml:space="preserve">Három: a külföldi csatorna.</w:t>
      </w:r>
      <w:r>
        <w:t xml:space="preserve"> Beépítettük és technikailag ellenőriztük a külföldi keresletet és az EKB-kamatot. A perzisztenciájuk viszont horgonyzatlan, és láttuk, hogy az EKB-átgyűrűzés mértéke egy technikai paraméteren múlik. Mi a magyar DSGE-gyakorlatban a standard érték, és kellene-e egy „az EKB épp szigorít a csatlakozáskor” forgatókönyv?</w:t>
      </w:r>
    </w:p>
    <w:p>
      <w:pPr>
        <w:pStyle w:val="Normal"/>
      </w:pPr>
      <w:r>
        <w:rPr>
          <w:b/>
        </w:rPr>
        <w:t xml:space="preserve">Négy: az alapértelmezések — és ez már nem elvi kérdés.</w:t>
      </w:r>
      <w:r>
        <w:t xml:space="preserve"> Ha nincs forrás egy KKV–nagyvállalat aszimmetriára, a szimmetrikus alapértelmezés a védhetőbb, vagy a legjobb, de horgonyzatlan becslésünk? A χ esetében ezen múlik, hogy a KKV-előny küszöbfüggő-e egyáltalán. A háromszoros aszimmetriával van küszöb; szimmetrikus χ mellett a KKV-előny hozzáférési csatorna nélkül is pozitív, csak kicsi: χ = 0,04 mellett nagyjából 0,17 százalékpont.</w:t>
      </w:r>
    </w:p>
    <w:p>
      <w:pPr>
        <w:pStyle w:val="Normal"/>
      </w:pPr>
      <w:r>
        <w:rPr>
          <w:b/>
        </w:rPr>
        <w:t xml:space="preserve">Öt: a fő számunk érzékenysége.</w:t>
      </w:r>
      <w:r>
        <w:t xml:space="preserve"> A tartós GDP-hatást, a +0,52 és +1,18 százalék közötti sávot a nettó vagyon egy perzisztencia-paraméterével számoltuk, amit eddig a BGG konvenciójának tartottunk. Kiderült, hogy eltér tőle. A BGG-vel konzisztens értékkel a sáv nagyjából +0,30 és +0,68 százalék. Minden konfigurációban pozitív marad, de a felső vége közel a felére esik. Kontraintuitív, hogy nagyobb perzisztencia kisebb hatást ad; ezt most vizsgáljuk, és addig a sávot ennek a paraméternek a függvényeként érdemes kezelni.</w:t>
      </w:r>
    </w:p>
    <w:p>
      <w:pPr>
        <w:pStyle w:val="Normal"/>
      </w:pPr>
      <w:r>
        <w:t xml:space="preserve">Ami ebből következik: a modell ma azt tudja állítani, hogy a tartós GDP-hatás minden vizsgált konfigurációban pozitív, és hogy a KKV-k relatív előnye bizonyos feltételek mellett jelenik meg. Hogy melyek ezek a feltételek, és hogyan horgonyozzuk őket, abban kérjük a segítségeteket. A bírálói körben mindenkitől négy dologra kérek választ: mi a modell legerősebb része, mi a legsúlyosabb kifogás, melyik állítást nem engednétek még publikálni, és milyen teszt győzne meg.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hu-HU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80"/>
      <w:outlineLvl w:val="0"/>
    </w:pPr>
    <w:rPr>
      <w:b/>
      <w:color w:val="1D4ED8"/>
      <w:sz w:val="40"/>
    </w:rPr>
  </w:style>
  <w:style w:type="paragraph" w:styleId="Heading2">
    <w:name w:val="heading 2"/>
    <w:basedOn w:val="Normal"/>
    <w:next w:val="Normal"/>
    <w:qFormat/>
    <w:pPr>
      <w:keepNext/>
      <w:spacing w:before="360" w:after="80"/>
      <w:outlineLvl w:val="1"/>
    </w:pPr>
    <w:rPr>
      <w:b/>
      <w:color w:val="1D4ED8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color w:val="16202E"/>
      <w:sz w:val="25"/>
    </w:rPr>
  </w:style>
  <w:style w:type="paragraph" w:styleId="ListParagraph">
    <w:name w:val="List Paragraph"/>
    <w:basedOn w:val="Normal"/>
    <w:pPr>
      <w:spacing w:after="60"/>
      <w:ind w:left="720"/>
    </w:pPr>
  </w:style>
  <w:style w:type="paragraph" w:styleId="TableText">
    <w:name w:val="Table Text"/>
    <w:basedOn w:val="Normal"/>
    <w:pPr>
      <w:spacing w:after="0" w:line="240" w:lineRule="auto"/>
    </w:pPr>
    <w:rPr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