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 első 13, Opten-adatból számolt DSGE-paraméter</w:t>
      </w:r>
    </w:p>
    <w:p>
      <w:pPr>
        <w:pStyle w:val="Subtitle"/>
      </w:pPr>
      <w:r>
        <w:t xml:space="preserve">Módszertani összefoglaló — DSGE_mkik projekt, Tomi Opten-kalibrációs munkája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Készült: 2026-09-24. Adatalap:</w:t>
      </w:r>
      <w:r>
        <w:t xml:space="preserve"> </w:t>
      </w:r>
      <w:r>
        <w:rPr>
          <w:rStyle w:val="VerbatimChar"/>
        </w:rPr>
        <w:t xml:space="preserve">data/processed/opten_beszamolok_2017_2025.parquet</w:t>
      </w:r>
      <w:r>
        <w:t xml:space="preserve"> </w:t>
      </w:r>
      <w:r>
        <w:t xml:space="preserve">— a 2026-09-03-i tisztított Opten cégpanel, 2017–2025, 462 322 cég-év, 55 007 egyedi cég. A dokumentum a</w:t>
      </w:r>
      <w:r>
        <w:t xml:space="preserve"> </w:t>
      </w:r>
      <w:r>
        <w:rPr>
          <w:rStyle w:val="VerbatimChar"/>
        </w:rPr>
        <w:t xml:space="preserve">parameterek_szamolasa.xlsx</w:t>
      </w:r>
      <w:r>
        <w:t xml:space="preserve"> </w:t>
      </w:r>
      <w:r>
        <w:t xml:space="preserve">“Ki számolja? (Samu, Tomi, Evi)”</w:t>
      </w:r>
      <w:r>
        <w:t xml:space="preserve"> </w:t>
      </w:r>
      <w:r>
        <w:t xml:space="preserve">oszlopa szerint Tominak jutó, közvetlenül Opten-aggregálással kiszámítható 13 paramétert (6 paramétercsaládot) mutatja be:</w:t>
      </w:r>
      <w:r>
        <w:t xml:space="preserve"> </w:t>
      </w:r>
      <w:r>
        <w:rPr>
          <w:rStyle w:val="VerbatimChar"/>
        </w:rPr>
        <w:t xml:space="preserve">om_E</w:t>
      </w:r>
      <w:r>
        <w:t xml:space="preserve">/</w:t>
      </w:r>
      <w:r>
        <w:rPr>
          <w:rStyle w:val="VerbatimChar"/>
        </w:rPr>
        <w:t xml:space="preserve">om_D</w:t>
      </w:r>
      <w:r>
        <w:t xml:space="preserve">/</w:t>
      </w:r>
      <w:r>
        <w:rPr>
          <w:rStyle w:val="VerbatimChar"/>
        </w:rPr>
        <w:t xml:space="preserve">om_L</w:t>
      </w:r>
      <w:r>
        <w:t xml:space="preserve">,</w:t>
      </w:r>
      <w:r>
        <w:t xml:space="preserve"> </w:t>
      </w:r>
      <w:r>
        <w:rPr>
          <w:rStyle w:val="VerbatimChar"/>
        </w:rPr>
        <w:t xml:space="preserve">shl_E</w:t>
      </w:r>
      <w:r>
        <w:t xml:space="preserve">/</w:t>
      </w:r>
      <w:r>
        <w:rPr>
          <w:rStyle w:val="VerbatimChar"/>
        </w:rPr>
        <w:t xml:space="preserve">shl_L</w:t>
      </w:r>
      <w:r>
        <w:t xml:space="preserve">,</w:t>
      </w:r>
      <w:r>
        <w:t xml:space="preserve"> </w:t>
      </w:r>
      <w:r>
        <w:rPr>
          <w:rStyle w:val="VerbatimChar"/>
        </w:rPr>
        <w:t xml:space="preserve">aa_E</w:t>
      </w:r>
      <w:r>
        <w:t xml:space="preserve">/</w:t>
      </w:r>
      <w:r>
        <w:rPr>
          <w:rStyle w:val="VerbatimChar"/>
        </w:rPr>
        <w:t xml:space="preserve">aa_D</w:t>
      </w:r>
      <w:r>
        <w:t xml:space="preserve">/</w:t>
      </w:r>
      <w:r>
        <w:rPr>
          <w:rStyle w:val="VerbatimChar"/>
        </w:rPr>
        <w:t xml:space="preserve">aa_L</w:t>
      </w:r>
      <w:r>
        <w:t xml:space="preserve">,</w:t>
      </w:r>
      <w:r>
        <w:t xml:space="preserve"> </w:t>
      </w:r>
      <w:r>
        <w:rPr>
          <w:rStyle w:val="VerbatimChar"/>
        </w:rPr>
        <w:t xml:space="preserve">phi_L</w:t>
      </w:r>
      <w:r>
        <w:t xml:space="preserve">,</w:t>
      </w:r>
      <w:r>
        <w:t xml:space="preserve"> </w:t>
      </w:r>
      <w:r>
        <w:rPr>
          <w:rStyle w:val="VerbatimChar"/>
        </w:rPr>
        <w:t xml:space="preserve">lev_E</w:t>
      </w:r>
      <w:r>
        <w:t xml:space="preserve">/</w:t>
      </w:r>
      <w:r>
        <w:rPr>
          <w:rStyle w:val="VerbatimChar"/>
        </w:rPr>
        <w:t xml:space="preserve">lev_D</w:t>
      </w:r>
      <w:r>
        <w:t xml:space="preserve">/</w:t>
      </w:r>
      <w:r>
        <w:rPr>
          <w:rStyle w:val="VerbatimChar"/>
        </w:rPr>
        <w:t xml:space="preserve">lev_L</w:t>
      </w:r>
      <w:r>
        <w:t xml:space="preserve">,</w:t>
      </w:r>
      <w:r>
        <w:t xml:space="preserve"> </w:t>
      </w:r>
      <w:r>
        <w:rPr>
          <w:rStyle w:val="VerbatimChar"/>
        </w:rPr>
        <w:t xml:space="preserve">rho_acc</w:t>
      </w:r>
      <w:r>
        <w:t xml:space="preserve">.</w:t>
      </w:r>
    </w:p>
    <w:p>
      <w:pPr>
        <w:pStyle w:val="BodyText"/>
      </w:pPr>
      <w:r>
        <w:t xml:space="preserve">A dokumentum minden paramétercsaládnál egységes szerkezetet követ: definíció, gazdasági értelmezés, szerep a modellben, a kiszámítás módja (szövegesen és egyenlettel), a szükséges inputok, a számítást végző script rövid leírása, a kapott eredmény, és egy megbízhatósági vélemény. Ahol egy paramétercsaládnak több szegmens-változata van (E/D/L), a közös elemeket (definíció, képlet, input, script) egyszer közöljük, az eredményeket pedig táblázatban, szegmensenként.</w:t>
      </w:r>
    </w:p>
    <w:p>
      <w:pPr>
        <w:pStyle w:val="BodyText"/>
      </w:pPr>
      <w:r>
        <w:rPr>
          <w:b/>
          <w:bCs/>
        </w:rPr>
        <w:t xml:space="preserve">Javítás (2026-09-24):</w:t>
      </w:r>
      <w:r>
        <w:t xml:space="preserve"> </w:t>
      </w:r>
      <w:r>
        <w:t xml:space="preserve">a dokumentum ezen (második) változata a javított, 50%-os E/D exportküszöbbel készült eredményeket közli. Az első változat tévesen 25%-os küszöböt használt — Samu megerősítette, hogy a csapat tényleges konvenciója 50%. A javítás az</w:t>
      </w:r>
      <w:r>
        <w:t xml:space="preserve"> </w:t>
      </w:r>
      <w:r>
        <w:rPr>
          <w:rStyle w:val="VerbatimChar"/>
        </w:rPr>
        <w:t xml:space="preserve">om_E</w:t>
      </w:r>
      <w:r>
        <w:t xml:space="preserve">,</w:t>
      </w:r>
      <w:r>
        <w:t xml:space="preserve"> </w:t>
      </w:r>
      <w:r>
        <w:rPr>
          <w:rStyle w:val="VerbatimChar"/>
        </w:rPr>
        <w:t xml:space="preserve">om_D</w:t>
      </w:r>
      <w:r>
        <w:t xml:space="preserve">,</w:t>
      </w:r>
      <w:r>
        <w:t xml:space="preserve"> </w:t>
      </w:r>
      <w:r>
        <w:rPr>
          <w:rStyle w:val="VerbatimChar"/>
        </w:rPr>
        <w:t xml:space="preserve">shl_E</w:t>
      </w:r>
      <w:r>
        <w:t xml:space="preserve">,</w:t>
      </w:r>
      <w:r>
        <w:t xml:space="preserve"> </w:t>
      </w:r>
      <w:r>
        <w:rPr>
          <w:rStyle w:val="VerbatimChar"/>
        </w:rPr>
        <w:t xml:space="preserve">shl_D</w:t>
      </w:r>
      <w:r>
        <w:t xml:space="preserve">,</w:t>
      </w:r>
      <w:r>
        <w:t xml:space="preserve"> </w:t>
      </w:r>
      <w:r>
        <w:rPr>
          <w:rStyle w:val="VerbatimChar"/>
        </w:rPr>
        <w:t xml:space="preserve">aa_E</w:t>
      </w:r>
      <w:r>
        <w:t xml:space="preserve">,</w:t>
      </w:r>
      <w:r>
        <w:t xml:space="preserve"> </w:t>
      </w:r>
      <w:r>
        <w:rPr>
          <w:rStyle w:val="VerbatimChar"/>
        </w:rPr>
        <w:t xml:space="preserve">aa_D</w:t>
      </w:r>
      <w:r>
        <w:t xml:space="preserve">,</w:t>
      </w:r>
      <w:r>
        <w:t xml:space="preserve"> </w:t>
      </w:r>
      <w:r>
        <w:rPr>
          <w:rStyle w:val="VerbatimChar"/>
        </w:rPr>
        <w:t xml:space="preserve">lev_E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lev_D</w:t>
      </w:r>
      <w:r>
        <w:t xml:space="preserve"> </w:t>
      </w:r>
      <w:r>
        <w:t xml:space="preserve">és a</w:t>
      </w:r>
      <w:r>
        <w:t xml:space="preserve"> </w:t>
      </w:r>
      <w:r>
        <w:rPr>
          <w:rStyle w:val="VerbatimChar"/>
        </w:rPr>
        <w:t xml:space="preserve">rho_acc</w:t>
      </w:r>
      <w:r>
        <w:t xml:space="preserve"> </w:t>
      </w:r>
      <w:r>
        <w:t xml:space="preserve">szegmensenkénti bontását érinti;</w:t>
      </w:r>
      <w:r>
        <w:t xml:space="preserve"> </w:t>
      </w:r>
      <w:r>
        <w:rPr>
          <w:rStyle w:val="VerbatimChar"/>
        </w:rPr>
        <w:t xml:space="preserve">om_L</w:t>
      </w:r>
      <w:r>
        <w:t xml:space="preserve">,</w:t>
      </w:r>
      <w:r>
        <w:t xml:space="preserve"> </w:t>
      </w:r>
      <w:r>
        <w:rPr>
          <w:rStyle w:val="VerbatimChar"/>
        </w:rPr>
        <w:t xml:space="preserve">shl_L</w:t>
      </w:r>
      <w:r>
        <w:t xml:space="preserve">,</w:t>
      </w:r>
      <w:r>
        <w:t xml:space="preserve"> </w:t>
      </w:r>
      <w:r>
        <w:rPr>
          <w:rStyle w:val="VerbatimChar"/>
        </w:rPr>
        <w:t xml:space="preserve">aa_L</w:t>
      </w:r>
      <w:r>
        <w:t xml:space="preserve">,</w:t>
      </w:r>
      <w:r>
        <w:t xml:space="preserve"> </w:t>
      </w:r>
      <w:r>
        <w:rPr>
          <w:rStyle w:val="VerbatimChar"/>
        </w:rPr>
        <w:t xml:space="preserve">lev_L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phi_L</w:t>
      </w:r>
      <w:r>
        <w:t xml:space="preserve"> </w:t>
      </w:r>
      <w:r>
        <w:t xml:space="preserve">változatlan, mert ezek kizárólag a (nem vitatott) 250 fős létszámhatárral vannak definiálva.</w:t>
      </w:r>
    </w:p>
    <w:p>
      <w:r>
        <w:br w:type="page"/>
      </w:r>
    </w:p>
    <w:bookmarkStart w:id="9" w:name="X3e54d1530f4798323f5181f21e55b6e6122813f"/>
    <w:p>
      <w:pPr>
        <w:pStyle w:val="Heading1"/>
      </w:pPr>
      <w:r>
        <w:t xml:space="preserve">1. om_E, om_D, om_L — szegmens-kibocsátási súlyok</w:t>
      </w:r>
    </w:p>
    <w:p>
      <w:pPr>
        <w:pStyle w:val="FirstParagraph"/>
      </w:pPr>
      <w:r>
        <w:rPr>
          <w:b/>
          <w:bCs/>
        </w:rPr>
        <w:t xml:space="preserve">Definíció</w:t>
      </w:r>
    </w:p>
    <w:p>
      <w:pPr>
        <w:pStyle w:val="BodyText"/>
      </w:pPr>
      <w:r>
        <w:t xml:space="preserve">Az adott vállalattípus (E = export-orientált KKV, D = hazai orientációjú KKV, L = nagyvállalat) részesedése a teljes vizsgált vállalati populáció összes (bruttó) kibocsátásából, árbevétel-alapon mérve.</w:t>
      </w:r>
    </w:p>
    <w:p>
      <w:pPr>
        <w:pStyle w:val="BodyText"/>
      </w:pPr>
      <w:r>
        <w:rPr>
          <w:b/>
          <w:bCs/>
        </w:rPr>
        <w:t xml:space="preserve">Gazdasági értelmezés</w:t>
      </w:r>
    </w:p>
    <w:p>
      <w:pPr>
        <w:pStyle w:val="BodyText"/>
      </w:pPr>
      <w:r>
        <w:t xml:space="preserve">Megmutatja, mekkora súlyt képvisel a gazdaságban az export-KKV, a hazai KKV és a nagyvállalati szegmens egymáshoz képest. Ez az egyik legfontosabb szerkezeti paraméter: ebből és a</w:t>
      </w:r>
      <w:r>
        <w:t xml:space="preserve"> </w:t>
      </w:r>
      <w:r>
        <w:rPr>
          <w:rStyle w:val="VerbatimChar"/>
        </w:rPr>
        <w:t xml:space="preserve">phi_j</w:t>
      </w:r>
      <w:r>
        <w:t xml:space="preserve"> </w:t>
      </w:r>
      <w:r>
        <w:t xml:space="preserve">exportarányokból számolja a modell a hazai és export értékesítési súlyokat (</w:t>
      </w:r>
      <w:r>
        <w:rPr>
          <w:rStyle w:val="VerbatimChar"/>
        </w:rPr>
        <w:t xml:space="preserve">wd_j</w:t>
      </w:r>
      <w:r>
        <w:t xml:space="preserve">,</w:t>
      </w:r>
      <w:r>
        <w:t xml:space="preserve"> </w:t>
      </w:r>
      <w:r>
        <w:rPr>
          <w:rStyle w:val="VerbatimChar"/>
        </w:rPr>
        <w:t xml:space="preserve">wx_j</w:t>
      </w:r>
      <w:r>
        <w:t xml:space="preserve">), valamint az importsúlyokat (</w:t>
      </w:r>
      <w:r>
        <w:rPr>
          <w:rStyle w:val="VerbatimChar"/>
        </w:rPr>
        <w:t xml:space="preserve">shm_j</w:t>
      </w:r>
      <w:r>
        <w:t xml:space="preserve">) is.</w:t>
      </w:r>
    </w:p>
    <w:p>
      <w:pPr>
        <w:pStyle w:val="BodyText"/>
      </w:pPr>
      <w:r>
        <w:rPr>
          <w:b/>
          <w:bCs/>
        </w:rPr>
        <w:t xml:space="preserve">Szerep a modellben</w:t>
      </w:r>
    </w:p>
    <w:p>
      <w:pPr>
        <w:pStyle w:val="BodyText"/>
      </w:pPr>
      <w:r>
        <w:t xml:space="preserve">Az</w:t>
      </w:r>
      <w:r>
        <w:t xml:space="preserve"> </w:t>
      </w:r>
      <w:r>
        <w:rPr>
          <w:rStyle w:val="VerbatimChar"/>
        </w:rPr>
        <w:t xml:space="preserve">om_j</w:t>
      </w:r>
      <w:r>
        <w:t xml:space="preserve"> </w:t>
      </w:r>
      <w:r>
        <w:t xml:space="preserve">a három típus szintű változóból (kibocsátás, tőke, beruházás) aggregált, a teljes gazdaságra vonatkozó mennyiséget képez, és a derivált</w:t>
      </w:r>
      <w:r>
        <w:t xml:space="preserve"> </w:t>
      </w:r>
      <w:r>
        <w:rPr>
          <w:rStyle w:val="VerbatimChar"/>
        </w:rPr>
        <w:t xml:space="preserve">wd_j</w:t>
      </w:r>
      <w:r>
        <w:t xml:space="preserve">/</w:t>
      </w:r>
      <w:r>
        <w:rPr>
          <w:rStyle w:val="VerbatimChar"/>
        </w:rPr>
        <w:t xml:space="preserve">wx_j</w:t>
      </w:r>
      <w:r>
        <w:t xml:space="preserve">/</w:t>
      </w:r>
      <w:r>
        <w:rPr>
          <w:rStyle w:val="VerbatimChar"/>
        </w:rPr>
        <w:t xml:space="preserve">shm_j</w:t>
      </w:r>
      <w:r>
        <w:t xml:space="preserve"> </w:t>
      </w:r>
      <w:r>
        <w:t xml:space="preserve">súlyok forrása:</w:t>
      </w:r>
    </w:p>
    <w:p>
      <w:pPr>
        <w:pStyle w:val="BlockText"/>
      </w:pPr>
      <w:r>
        <w:rPr>
          <w:i/>
          <w:iCs/>
        </w:rPr>
        <w:t xml:space="preserve">k = om_E·k_E + om_D·k_D + om_L·k_L ii = om_E·i_E + om_D·i_D + om_L·i_L</w:t>
      </w:r>
    </w:p>
    <w:p>
      <w:pPr>
        <w:pStyle w:val="FirstParagraph"/>
      </w:pPr>
      <w:r>
        <w:t xml:space="preserve">(Ez utóbbi két egyenlet a</w:t>
      </w:r>
      <w:r>
        <w:t xml:space="preserve"> </w:t>
      </w:r>
      <w:r>
        <w:rPr>
          <w:rStyle w:val="VerbatimChar"/>
        </w:rPr>
        <w:t xml:space="preserve">.mod</w:t>
      </w:r>
      <w:r>
        <w:t xml:space="preserve"> </w:t>
      </w:r>
      <w:r>
        <w:t xml:space="preserve">fájl saját kommentje szerint</w:t>
      </w:r>
      <w:r>
        <w:t xml:space="preserve"> </w:t>
      </w:r>
      <w:r>
        <w:t xml:space="preserve">“aggregált riportálás, nem hajt semmit”</w:t>
      </w:r>
      <w:r>
        <w:t xml:space="preserve"> </w:t>
      </w:r>
      <w:r>
        <w:t xml:space="preserve">— vagyis kényelmi megjelenítő azonosság, nem a modell dinamikáját alakító egyenlet.)</w:t>
      </w:r>
    </w:p>
    <w:p>
      <w:pPr>
        <w:pStyle w:val="BodyText"/>
      </w:pPr>
      <w:r>
        <w:rPr>
          <w:b/>
          <w:bCs/>
        </w:rPr>
        <w:t xml:space="preserve">A kiszámítás módja</w:t>
      </w:r>
    </w:p>
    <w:p>
      <w:pPr>
        <w:pStyle w:val="BodyText"/>
      </w:pPr>
      <w:r>
        <w:t xml:space="preserve">Minden cég-évet egy közös (</w:t>
      </w:r>
      <w:r>
        <w:t xml:space="preserve">“pooled”</w:t>
      </w:r>
      <w:r>
        <w:t xml:space="preserve">) sokaságként kezelve, szegmensenként összegezzük a nettó árbevételt, majd elosztjuk a három szegmens együttes árbevételével. A vállalatok szegmensbe sorolása: 10–249 fő és export-arány ≥50% → E; 10–249 fő és export-arány &lt;50% → D; ≥250 fő → L (10 fő alatti cégek nem kerülnek egyik szegmensbe sem).</w:t>
      </w:r>
    </w:p>
    <w:p>
      <w:pPr>
        <w:pStyle w:val="BlockText"/>
      </w:pPr>
      <w:r>
        <w:rPr>
          <w:i/>
          <w:iCs/>
        </w:rPr>
        <w:t xml:space="preserve">om_j = ( Σ_{i∈j} Nettó árbevétel_i ) / ( Σ_{i∈E∪D∪L} Nettó árbevétel_i )</w:t>
      </w:r>
    </w:p>
    <w:p>
      <w:pPr>
        <w:pStyle w:val="FirstParagraph"/>
      </w:pPr>
      <w:r>
        <w:rPr>
          <w:b/>
          <w:bCs/>
        </w:rPr>
        <w:t xml:space="preserve">Szükséges inputok</w:t>
      </w:r>
    </w:p>
    <w:p>
      <w:pPr>
        <w:pStyle w:val="Compact"/>
        <w:numPr>
          <w:ilvl w:val="0"/>
          <w:numId w:val="1001"/>
        </w:numPr>
      </w:pPr>
      <w:r>
        <w:t xml:space="preserve">Értékesítés nettó árbevétele (cég-év szinten)</w:t>
      </w:r>
    </w:p>
    <w:p>
      <w:pPr>
        <w:pStyle w:val="Compact"/>
        <w:numPr>
          <w:ilvl w:val="0"/>
          <w:numId w:val="1001"/>
        </w:numPr>
      </w:pPr>
      <w:r>
        <w:t xml:space="preserve">Exportértékesítés nettó árbevétele (a szegmentációhoz)</w:t>
      </w:r>
    </w:p>
    <w:p>
      <w:pPr>
        <w:pStyle w:val="Compact"/>
        <w:numPr>
          <w:ilvl w:val="0"/>
          <w:numId w:val="1001"/>
        </w:numPr>
      </w:pPr>
      <w:r>
        <w:t xml:space="preserve">Létszám (fő) (a szegmentációhoz)</w:t>
      </w:r>
    </w:p>
    <w:p>
      <w:pPr>
        <w:pStyle w:val="FirstParagraph"/>
      </w:pPr>
      <w:r>
        <w:rPr>
          <w:b/>
          <w:bCs/>
        </w:rPr>
        <w:t xml:space="preserve">A script rövid leírása</w:t>
      </w:r>
    </w:p>
    <w:p>
      <w:pPr>
        <w:pStyle w:val="BodyText"/>
      </w:pPr>
      <w:r>
        <w:rPr>
          <w:rStyle w:val="VerbatimChar"/>
        </w:rPr>
        <w:t xml:space="preserve">outputs/2026-09-22_tomi_om_j_opten/calc_om_j.py</w:t>
      </w:r>
      <w:r>
        <w:t xml:space="preserve"> </w:t>
      </w:r>
      <w:r>
        <w:t xml:space="preserve">— beolvassa a teljes parquet panelt, elvégzi a szegmentációt (</w:t>
      </w:r>
      <w:r>
        <w:rPr>
          <w:rStyle w:val="VerbatimChar"/>
        </w:rPr>
        <w:t xml:space="preserve">classify()</w:t>
      </w:r>
      <w:r>
        <w:t xml:space="preserve"> </w:t>
      </w:r>
      <w:r>
        <w:t xml:space="preserve">függvény), majd szegmensenként összegzi és normalizálja az árbevételt. Kimenet:</w:t>
      </w:r>
      <w:r>
        <w:t xml:space="preserve"> </w:t>
      </w:r>
      <w:r>
        <w:rPr>
          <w:rStyle w:val="VerbatimChar"/>
        </w:rPr>
        <w:t xml:space="preserve">results_om_j.csv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Eredmény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Szegmens</w:t>
            </w:r>
          </w:p>
        </w:tc>
        <w:tc>
          <w:tcPr/>
          <w:p>
            <w:pPr>
              <w:pStyle w:val="Compact"/>
            </w:pPr>
            <w:r>
              <w:t xml:space="preserve">om_j</w:t>
            </w:r>
          </w:p>
        </w:tc>
        <w:tc>
          <w:tcPr/>
          <w:p>
            <w:pPr>
              <w:pStyle w:val="Compact"/>
            </w:pPr>
            <w:r>
              <w:t xml:space="preserve">Cég-év a szegmensben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(export-KKV)</w:t>
            </w:r>
          </w:p>
        </w:tc>
        <w:tc>
          <w:tcPr/>
          <w:p>
            <w:pPr>
              <w:pStyle w:val="Compact"/>
            </w:pPr>
            <w:r>
              <w:t xml:space="preserve">0,0825</w:t>
            </w:r>
          </w:p>
        </w:tc>
        <w:tc>
          <w:tcPr/>
          <w:p>
            <w:pPr>
              <w:pStyle w:val="Compact"/>
            </w:pPr>
            <w:r>
              <w:t xml:space="preserve">10 564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(hazai KKV)</w:t>
            </w:r>
          </w:p>
        </w:tc>
        <w:tc>
          <w:tcPr/>
          <w:p>
            <w:pPr>
              <w:pStyle w:val="Compact"/>
            </w:pPr>
            <w:r>
              <w:t xml:space="preserve">0,3815</w:t>
            </w:r>
          </w:p>
        </w:tc>
        <w:tc>
          <w:tcPr/>
          <w:p>
            <w:pPr>
              <w:pStyle w:val="Compact"/>
            </w:pPr>
            <w:r>
              <w:t xml:space="preserve">281 289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(nagyvállalat)</w:t>
            </w:r>
          </w:p>
        </w:tc>
        <w:tc>
          <w:tcPr/>
          <w:p>
            <w:pPr>
              <w:pStyle w:val="Compact"/>
            </w:pPr>
            <w:r>
              <w:t xml:space="preserve">0,5361</w:t>
            </w:r>
          </w:p>
        </w:tc>
        <w:tc>
          <w:tcPr/>
          <w:p>
            <w:pPr>
              <w:pStyle w:val="Compact"/>
            </w:pPr>
            <w:r>
              <w:t xml:space="preserve">8 325</w:t>
            </w:r>
          </w:p>
        </w:tc>
      </w:tr>
    </w:tbl>
    <w:p>
      <w:pPr>
        <w:pStyle w:val="BodyText"/>
      </w:pPr>
      <w:r>
        <w:rPr>
          <w:b/>
          <w:bCs/>
        </w:rPr>
        <w:t xml:space="preserve">Megbízhatóság: KÖZEPES.</w:t>
      </w:r>
      <w:r>
        <w:t xml:space="preserve"> </w:t>
      </w:r>
      <w:r>
        <w:t xml:space="preserve">A számítási módszer önmagában robusztus: a pooled aggregálás és az évenkénti egyszerű átlag közötti eltérés minden szegmensben 2% alatt van. A korábban használt 25%-os E/D exportküszöb helyett 2026-09-24-től hivatalosan 50%-ot alkalmazunk (a csapat megerősített konvenciója).</w:t>
      </w:r>
      <w:r>
        <w:t xml:space="preserve"> </w:t>
      </w:r>
      <w:r>
        <w:rPr>
          <w:b/>
          <w:bCs/>
        </w:rPr>
        <w:t xml:space="preserve">Pontosítás (negyedik adversarial kontroll után):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-hoz (egy korábbi kollégai kalibráció) mért illeszkedés csak RÉSZBEN javult a küszöb-javítással —</w:t>
      </w:r>
      <w:r>
        <w:t xml:space="preserve"> </w:t>
      </w:r>
      <w:r>
        <w:rPr>
          <w:rStyle w:val="VerbatimChar"/>
        </w:rPr>
        <w:t xml:space="preserve">om_E</w:t>
      </w:r>
      <w:r>
        <w:t xml:space="preserve"> </w:t>
      </w:r>
      <w:r>
        <w:t xml:space="preserve">önmagában közelebb került (rés 44%→7%), DE a teljes</w:t>
      </w:r>
      <w:r>
        <w:t xml:space="preserve"> </w:t>
      </w:r>
      <w:r>
        <w:rPr>
          <w:rStyle w:val="VerbatimChar"/>
        </w:rPr>
        <w:t xml:space="preserve">om</w:t>
      </w:r>
      <w:r>
        <w:t xml:space="preserve">-vektor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-tól mért távolsága NEM csökkent, csak E-ről D-re tolódott, mert a saját és a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 </w:t>
      </w:r>
      <w:r>
        <w:t xml:space="preserve">teljes KKV- (E+D-) tömege eltér (0,464 vs. 0,425) — ez a küszöbtől független, meg nem magyarázott eltérés. Ami ténylegesen küszöb-specifikus és informatív: az E aránya a KKV-tömegen belül 23,9%-ról 17,8%-ra mozdult, közel a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 </w:t>
      </w:r>
      <w:r>
        <w:t xml:space="preserve">18,1%-ához — ez valódi, de szűkebb körű konzisztencia-jel, nem</w:t>
      </w:r>
      <w:r>
        <w:t xml:space="preserve"> </w:t>
      </w:r>
      <w:r>
        <w:t xml:space="preserve">“a teljes rés eltűnése”</w:t>
      </w:r>
      <w:r>
        <w:t xml:space="preserve">.</w:t>
      </w:r>
    </w:p>
    <w:p>
      <w:r>
        <w:br w:type="page"/>
      </w:r>
    </w:p>
    <w:bookmarkEnd w:id="9"/>
    <w:bookmarkStart w:id="10" w:name="X7c2b290006b879176ede55e965f8ef603d16736"/>
    <w:p>
      <w:pPr>
        <w:pStyle w:val="Heading1"/>
      </w:pPr>
      <w:r>
        <w:t xml:space="preserve">2. shl_E, shl_L — szegmens-foglalkoztatási súlyok</w:t>
      </w:r>
    </w:p>
    <w:p>
      <w:pPr>
        <w:pStyle w:val="FirstParagraph"/>
      </w:pP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shl_D</w:t>
      </w:r>
      <w:r>
        <w:rPr>
          <w:i/>
          <w:iCs/>
        </w:rPr>
        <w:t xml:space="preserve"> </w:t>
      </w:r>
      <w:r>
        <w:rPr>
          <w:i/>
          <w:iCs/>
        </w:rPr>
        <w:t xml:space="preserve">is kiszámolva ugyanezzel a módszerrel, de a paramétertábla szerint elsődlegesen nem Tomi tétele — itt csak referenciaként szerepel.)</w:t>
      </w:r>
    </w:p>
    <w:p>
      <w:pPr>
        <w:pStyle w:val="BodyText"/>
      </w:pPr>
      <w:r>
        <w:rPr>
          <w:b/>
          <w:bCs/>
        </w:rPr>
        <w:t xml:space="preserve">Definíció</w:t>
      </w:r>
    </w:p>
    <w:p>
      <w:pPr>
        <w:pStyle w:val="BodyText"/>
      </w:pPr>
      <w:r>
        <w:t xml:space="preserve">Az adott vállalattípus részesedése a teljes vizsgált vállalati populáció összesített foglalkoztatásából.</w:t>
      </w:r>
    </w:p>
    <w:p>
      <w:pPr>
        <w:pStyle w:val="BodyText"/>
      </w:pPr>
      <w:r>
        <w:rPr>
          <w:b/>
          <w:bCs/>
        </w:rPr>
        <w:t xml:space="preserve">Gazdasági értelmezés</w:t>
      </w:r>
    </w:p>
    <w:p>
      <w:pPr>
        <w:pStyle w:val="BodyText"/>
      </w:pPr>
      <w:r>
        <w:t xml:space="preserve">Azt mutatja meg, mekkora súllyal esik latba az egyes szegmensek munkaerő-kereslete a gazdaság egészének munkapiaci egyensúlyában. A modell egyetlen közös munkapiacot és közös bért feltételez, ezért a típusonkénti munkakeresletet ezekkel a súlyokkal kell aggregálni.</w:t>
      </w:r>
    </w:p>
    <w:p>
      <w:pPr>
        <w:pStyle w:val="BodyText"/>
      </w:pPr>
      <w:r>
        <w:rPr>
          <w:b/>
          <w:bCs/>
        </w:rPr>
        <w:t xml:space="preserve">Szerep a modellben</w:t>
      </w:r>
    </w:p>
    <w:p>
      <w:pPr>
        <w:pStyle w:val="BodyText"/>
      </w:pPr>
      <w:r>
        <w:t xml:space="preserve">Az aggregált munkakeresletet állítja elő a típusonkénti munkakeresletekből, ami továbbmegy a bér-Phillips-görbébe:</w:t>
      </w:r>
    </w:p>
    <w:p>
      <w:pPr>
        <w:pStyle w:val="BlockText"/>
      </w:pPr>
      <w:r>
        <w:rPr>
          <w:i/>
          <w:iCs/>
        </w:rPr>
        <w:t xml:space="preserve">ll = shl_E·l_E + shl_D·l_D + shl_L·l_L</w:t>
      </w:r>
    </w:p>
    <w:p>
      <w:pPr>
        <w:pStyle w:val="FirstParagraph"/>
      </w:pPr>
      <w:r>
        <w:rPr>
          <w:b/>
          <w:bCs/>
        </w:rPr>
        <w:t xml:space="preserve">A kiszámítás módja</w:t>
      </w:r>
    </w:p>
    <w:p>
      <w:pPr>
        <w:pStyle w:val="BodyText"/>
      </w:pPr>
      <w:r>
        <w:t xml:space="preserve">Szegmensenként összegezzük a létszámot (cég-év szinten, pooled), majd elosztjuk a három szegmens együttes létszámával — ugyanazzal a szegmentációval, mint az</w:t>
      </w:r>
      <w:r>
        <w:t xml:space="preserve"> </w:t>
      </w:r>
      <w:r>
        <w:rPr>
          <w:rStyle w:val="VerbatimChar"/>
        </w:rPr>
        <w:t xml:space="preserve">om_j</w:t>
      </w:r>
      <w:r>
        <w:t xml:space="preserve">-nél.</w:t>
      </w:r>
    </w:p>
    <w:p>
      <w:pPr>
        <w:pStyle w:val="BlockText"/>
      </w:pPr>
      <w:r>
        <w:rPr>
          <w:i/>
          <w:iCs/>
        </w:rPr>
        <w:t xml:space="preserve">shl_j = ( Σ_{i∈j} Létszám_i ) / ( Σ_{i∈E∪D∪L} Létszám_i )</w:t>
      </w:r>
    </w:p>
    <w:p>
      <w:pPr>
        <w:pStyle w:val="FirstParagraph"/>
      </w:pPr>
      <w:r>
        <w:rPr>
          <w:b/>
          <w:bCs/>
        </w:rPr>
        <w:t xml:space="preserve">Szükséges inputok</w:t>
      </w:r>
    </w:p>
    <w:p>
      <w:pPr>
        <w:pStyle w:val="Compact"/>
        <w:numPr>
          <w:ilvl w:val="0"/>
          <w:numId w:val="1002"/>
        </w:numPr>
      </w:pPr>
      <w:r>
        <w:t xml:space="preserve">Létszám (fő) (cég-év szinten, összegzéshez és szegmentációhoz is)</w:t>
      </w:r>
    </w:p>
    <w:p>
      <w:pPr>
        <w:pStyle w:val="Compact"/>
        <w:numPr>
          <w:ilvl w:val="0"/>
          <w:numId w:val="1002"/>
        </w:numPr>
      </w:pPr>
      <w:r>
        <w:t xml:space="preserve">Exportértékesítés nettó árbevétele / Értékesítés nettó árbevétele (a szegmentációhoz)</w:t>
      </w:r>
    </w:p>
    <w:p>
      <w:pPr>
        <w:pStyle w:val="FirstParagraph"/>
      </w:pPr>
      <w:r>
        <w:rPr>
          <w:b/>
          <w:bCs/>
        </w:rPr>
        <w:t xml:space="preserve">A script rövid leírása</w:t>
      </w:r>
    </w:p>
    <w:p>
      <w:pPr>
        <w:pStyle w:val="BodyText"/>
      </w:pPr>
      <w:r>
        <w:rPr>
          <w:rStyle w:val="VerbatimChar"/>
        </w:rPr>
        <w:t xml:space="preserve">outputs/2026-09-22_tomi_shl_j_opten/calc_shl_j.py</w:t>
      </w:r>
      <w:r>
        <w:t xml:space="preserve"> </w:t>
      </w:r>
      <w:r>
        <w:t xml:space="preserve">— azonos szerkezetű, mint</w:t>
      </w:r>
      <w:r>
        <w:t xml:space="preserve"> </w:t>
      </w:r>
      <w:r>
        <w:rPr>
          <w:rStyle w:val="VerbatimChar"/>
        </w:rPr>
        <w:t xml:space="preserve">calc_om_j.py</w:t>
      </w:r>
      <w:r>
        <w:t xml:space="preserve">, csak a létszám-oszlopot összegzi árbevétel helyett. Kimenet:</w:t>
      </w:r>
      <w:r>
        <w:t xml:space="preserve"> </w:t>
      </w:r>
      <w:r>
        <w:rPr>
          <w:rStyle w:val="VerbatimChar"/>
        </w:rPr>
        <w:t xml:space="preserve">results_shl_j.csv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Eredmény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Szegmens</w:t>
            </w:r>
          </w:p>
        </w:tc>
        <w:tc>
          <w:tcPr/>
          <w:p>
            <w:pPr>
              <w:pStyle w:val="Compact"/>
            </w:pPr>
            <w:r>
              <w:t xml:space="preserve">shl_j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(export-KKV)</w:t>
            </w:r>
          </w:p>
        </w:tc>
        <w:tc>
          <w:tcPr/>
          <w:p>
            <w:pPr>
              <w:pStyle w:val="Compact"/>
            </w:pPr>
            <w:r>
              <w:t xml:space="preserve">0,0607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(hazai KKV) — referencia</w:t>
            </w:r>
          </w:p>
        </w:tc>
        <w:tc>
          <w:tcPr/>
          <w:p>
            <w:pPr>
              <w:pStyle w:val="Compact"/>
            </w:pPr>
            <w:r>
              <w:t xml:space="preserve">0,4898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(nagyvállalat)</w:t>
            </w:r>
          </w:p>
        </w:tc>
        <w:tc>
          <w:tcPr/>
          <w:p>
            <w:pPr>
              <w:pStyle w:val="Compact"/>
            </w:pPr>
            <w:r>
              <w:t xml:space="preserve">0,4495</w:t>
            </w:r>
          </w:p>
        </w:tc>
      </w:tr>
    </w:tbl>
    <w:p>
      <w:pPr>
        <w:pStyle w:val="BodyText"/>
      </w:pPr>
      <w:r>
        <w:rPr>
          <w:b/>
          <w:bCs/>
        </w:rPr>
        <w:t xml:space="preserve">Megbízhatóság: MAGAS.</w:t>
      </w:r>
      <w:r>
        <w:t xml:space="preserve"> </w:t>
      </w:r>
      <w:r>
        <w:rPr>
          <w:rStyle w:val="VerbatimChar"/>
        </w:rPr>
        <w:t xml:space="preserve">shl_D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shl_L</w:t>
      </w:r>
      <w:r>
        <w:t xml:space="preserve"> </w:t>
      </w:r>
      <w:r>
        <w:t xml:space="preserve">magas megbízhatóságú: a helyes, 50%-os küszöbre javított</w:t>
      </w:r>
      <w:r>
        <w:t xml:space="preserve"> </w:t>
      </w:r>
      <w:r>
        <w:rPr>
          <w:rStyle w:val="VerbatimChar"/>
        </w:rPr>
        <w:t xml:space="preserve">shl_D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 </w:t>
      </w:r>
      <w:r>
        <w:t xml:space="preserve">értékével gyakorlatilag tökéletesen egyezik (0,4898 vs. 0,491, ~0,2%-os eltérés), és a pooling-teszt szerint &lt;1% a nominális/recency-torzítás.</w:t>
      </w:r>
      <w:r>
        <w:t xml:space="preserve"> </w:t>
      </w:r>
      <w:r>
        <w:rPr>
          <w:rStyle w:val="VerbatimChar"/>
        </w:rPr>
        <w:t xml:space="preserve">shl_E</w:t>
      </w:r>
      <w:r>
        <w:t xml:space="preserve"> </w:t>
      </w:r>
      <w:r>
        <w:t xml:space="preserve">is KÖZEPES-MAGAS megbízhatóságúra javult a korábbi 25%-os küszöbhöz képest: a helyes 50%-os küszöbön a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-hoz (0,055) képesti eltérés ~47%-ról ~10%-ra esett.</w:t>
      </w:r>
    </w:p>
    <w:p>
      <w:r>
        <w:br w:type="page"/>
      </w:r>
    </w:p>
    <w:bookmarkEnd w:id="10"/>
    <w:bookmarkStart w:id="11" w:name="Xe6d31b041857856ea4996ac897ac8141443c533"/>
    <w:p>
      <w:pPr>
        <w:pStyle w:val="Heading1"/>
      </w:pPr>
      <w:r>
        <w:t xml:space="preserve">3. aa_E, aa_D, aa_L — munka aránya a munka+import kompozitban</w:t>
      </w:r>
    </w:p>
    <w:p>
      <w:pPr>
        <w:pStyle w:val="FirstParagraph"/>
      </w:pPr>
      <w:r>
        <w:rPr>
          <w:b/>
          <w:bCs/>
        </w:rPr>
        <w:t xml:space="preserve">Definíció</w:t>
      </w:r>
    </w:p>
    <w:p>
      <w:pPr>
        <w:pStyle w:val="BodyText"/>
      </w:pPr>
      <w:r>
        <w:t xml:space="preserve">A modell egy</w:t>
      </w:r>
      <w:r>
        <w:t xml:space="preserve"> </w:t>
      </w:r>
      <w:r>
        <w:t xml:space="preserve">“munka + importált köztes input”</w:t>
      </w:r>
      <w:r>
        <w:t xml:space="preserve"> </w:t>
      </w:r>
      <w:r>
        <w:t xml:space="preserve">kompozit inputot feltételez minden vállalattípus termeléséhez;</w:t>
      </w:r>
      <w:r>
        <w:t xml:space="preserve"> </w:t>
      </w:r>
      <w:r>
        <w:rPr>
          <w:rStyle w:val="VerbatimChar"/>
        </w:rPr>
        <w:t xml:space="preserve">aa_j</w:t>
      </w:r>
      <w:r>
        <w:t xml:space="preserve"> </w:t>
      </w:r>
      <w:r>
        <w:t xml:space="preserve">ennek a kompozitnak a munka-hányada, (1−</w:t>
      </w:r>
      <w:r>
        <w:rPr>
          <w:rStyle w:val="VerbatimChar"/>
        </w:rPr>
        <w:t xml:space="preserve">aa_j</w:t>
      </w:r>
      <w:r>
        <w:t xml:space="preserve">) pedig — a modell definíciója szerint — az import-intenzitás.</w:t>
      </w:r>
    </w:p>
    <w:p>
      <w:pPr>
        <w:pStyle w:val="BodyText"/>
      </w:pPr>
      <w:r>
        <w:rPr>
          <w:b/>
          <w:bCs/>
        </w:rPr>
        <w:t xml:space="preserve">Gazdasági értelmezés</w:t>
      </w:r>
    </w:p>
    <w:p>
      <w:pPr>
        <w:pStyle w:val="BodyText"/>
      </w:pPr>
      <w:r>
        <w:t xml:space="preserve">Minél alacsonyabb</w:t>
      </w:r>
      <w:r>
        <w:t xml:space="preserve"> </w:t>
      </w:r>
      <w:r>
        <w:rPr>
          <w:rStyle w:val="VerbatimChar"/>
        </w:rPr>
        <w:t xml:space="preserve">aa_j</w:t>
      </w:r>
      <w:r>
        <w:t xml:space="preserve">, annál import-intenzívebb (és ezért árfolyam-érzékenyebb) az adott típus nem-tőke ráfordítása: egy gyengébb forint drágítja az importált inputot, de versenyképesebbé teszi az exportot — ez a kettős hatás a duális (export-KKV vs. hazai KKV) szerkezeti állítás egyik pillére.</w:t>
      </w:r>
    </w:p>
    <w:p>
      <w:pPr>
        <w:pStyle w:val="BodyText"/>
      </w:pPr>
      <w:r>
        <w:rPr>
          <w:b/>
          <w:bCs/>
        </w:rPr>
        <w:t xml:space="preserve">Szerep a modellben</w:t>
      </w:r>
    </w:p>
    <w:p>
      <w:pPr>
        <w:pStyle w:val="BodyText"/>
      </w:pPr>
      <w:r>
        <w:t xml:space="preserve">A munka+import kompozit ára ezzel a súllyal áll össze a bérből (</w:t>
      </w:r>
      <w:r>
        <w:rPr>
          <w:rStyle w:val="VerbatimChar"/>
        </w:rPr>
        <w:t xml:space="preserve">w</w:t>
      </w:r>
      <w:r>
        <w:t xml:space="preserve">) és a reálárfolyamból (</w:t>
      </w:r>
      <w:r>
        <w:rPr>
          <w:rStyle w:val="VerbatimChar"/>
        </w:rPr>
        <w:t xml:space="preserve">rer</w:t>
      </w:r>
      <w:r>
        <w:t xml:space="preserve">), ami aztán a típusonkénti határköltségbe (</w:t>
      </w:r>
      <w:r>
        <w:rPr>
          <w:rStyle w:val="VerbatimChar"/>
        </w:rPr>
        <w:t xml:space="preserve">mc_j</w:t>
      </w:r>
      <w:r>
        <w:t xml:space="preserve">) megy tovább:</w:t>
      </w:r>
    </w:p>
    <w:p>
      <w:pPr>
        <w:pStyle w:val="BlockText"/>
      </w:pPr>
      <w:r>
        <w:rPr>
          <w:i/>
          <w:iCs/>
        </w:rPr>
        <w:t xml:space="preserve">wz_j = aa_j·w + (1−aa_j)·rer mc_j = zeta_j·rk_j + (1−zeta_j)·wz_j − a</w:t>
      </w:r>
    </w:p>
    <w:p>
      <w:pPr>
        <w:pStyle w:val="FirstParagraph"/>
      </w:pPr>
      <w:r>
        <w:rPr>
          <w:b/>
          <w:bCs/>
        </w:rPr>
        <w:t xml:space="preserve">A kiszámítás módja</w:t>
      </w:r>
    </w:p>
    <w:p>
      <w:pPr>
        <w:pStyle w:val="BodyText"/>
      </w:pPr>
      <w:r>
        <w:t xml:space="preserve">Szegmensenként összegezzük a bérköltséget és az anyagköltséget (a főváltozatban a mérleg összevont</w:t>
      </w:r>
      <w:r>
        <w:t xml:space="preserve"> </w:t>
      </w:r>
      <w:r>
        <w:t xml:space="preserve">“Anyagjellegű ráfordítások”</w:t>
      </w:r>
      <w:r>
        <w:t xml:space="preserve"> </w:t>
      </w:r>
      <w:r>
        <w:t xml:space="preserve">és</w:t>
      </w:r>
      <w:r>
        <w:t xml:space="preserve"> </w:t>
      </w:r>
      <w:r>
        <w:t xml:space="preserve">“Személyi jellegű ráfordítások”</w:t>
      </w:r>
      <w:r>
        <w:t xml:space="preserve"> </w:t>
      </w:r>
      <w:r>
        <w:t xml:space="preserve">sorait használva), majd a bérköltséget osztjuk a kettő összegével.</w:t>
      </w:r>
    </w:p>
    <w:p>
      <w:pPr>
        <w:pStyle w:val="BlockText"/>
      </w:pPr>
      <w:r>
        <w:rPr>
          <w:i/>
          <w:iCs/>
        </w:rPr>
        <w:t xml:space="preserve">aa_j = ( Σ_{i∈j} Bérköltség_i ) / ( Σ_{i∈j} Bérköltség_i + Σ_{i∈j} Anyagköltség_i )</w:t>
      </w:r>
    </w:p>
    <w:p>
      <w:pPr>
        <w:pStyle w:val="FirstParagraph"/>
      </w:pPr>
      <w:r>
        <w:t xml:space="preserve">Érzékenységi változatként kiszámoltuk a szűkebb, kifejezetten</w:t>
      </w:r>
      <w:r>
        <w:t xml:space="preserve"> </w:t>
      </w:r>
      <w:r>
        <w:t xml:space="preserve">“Bérköltség”</w:t>
      </w:r>
      <w:r>
        <w:t xml:space="preserve">/</w:t>
      </w:r>
      <w:r>
        <w:t xml:space="preserve">“Anyagköltség”</w:t>
      </w:r>
      <w:r>
        <w:t xml:space="preserve"> </w:t>
      </w:r>
      <w:r>
        <w:t xml:space="preserve">(nem összevont) sorokra épülő verziót is, csak azokra a cég-évekre szűkítve, ahol mindkettő ki van töltve (kb. a minta 15%-a).</w:t>
      </w:r>
    </w:p>
    <w:p>
      <w:pPr>
        <w:pStyle w:val="BodyText"/>
      </w:pPr>
      <w:r>
        <w:rPr>
          <w:b/>
          <w:bCs/>
        </w:rPr>
        <w:t xml:space="preserve">Szükséges inputok</w:t>
      </w:r>
    </w:p>
    <w:p>
      <w:pPr>
        <w:pStyle w:val="Compact"/>
        <w:numPr>
          <w:ilvl w:val="0"/>
          <w:numId w:val="1003"/>
        </w:numPr>
      </w:pPr>
      <w:r>
        <w:t xml:space="preserve">Bérköltség / Személyi jellegű ráfordítások</w:t>
      </w:r>
    </w:p>
    <w:p>
      <w:pPr>
        <w:pStyle w:val="Compact"/>
        <w:numPr>
          <w:ilvl w:val="0"/>
          <w:numId w:val="1003"/>
        </w:numPr>
      </w:pPr>
      <w:r>
        <w:t xml:space="preserve">Anyagköltség / Anyagjellegű ráfordítások</w:t>
      </w:r>
    </w:p>
    <w:p>
      <w:pPr>
        <w:pStyle w:val="Compact"/>
        <w:numPr>
          <w:ilvl w:val="0"/>
          <w:numId w:val="1003"/>
        </w:numPr>
      </w:pPr>
      <w:r>
        <w:t xml:space="preserve">Létszám, export-arány (a szegmentációhoz)</w:t>
      </w:r>
    </w:p>
    <w:p>
      <w:pPr>
        <w:pStyle w:val="FirstParagraph"/>
      </w:pPr>
      <w:r>
        <w:rPr>
          <w:b/>
          <w:bCs/>
        </w:rPr>
        <w:t xml:space="preserve">A script rövid leírása</w:t>
      </w:r>
    </w:p>
    <w:p>
      <w:pPr>
        <w:pStyle w:val="BodyText"/>
      </w:pPr>
      <w:r>
        <w:rPr>
          <w:rStyle w:val="VerbatimChar"/>
        </w:rPr>
        <w:t xml:space="preserve">outputs/2026-09-22_tomi_aa_j_opten/calc_aa_j.py</w:t>
      </w:r>
      <w:r>
        <w:t xml:space="preserve"> </w:t>
      </w:r>
      <w:r>
        <w:t xml:space="preserve">— a fő (összevont sorokkal számolt) változat, kimenet:</w:t>
      </w:r>
      <w:r>
        <w:t xml:space="preserve"> </w:t>
      </w:r>
      <w:r>
        <w:rPr>
          <w:rStyle w:val="VerbatimChar"/>
        </w:rPr>
        <w:t xml:space="preserve">results_aggregate.csv</w:t>
      </w:r>
      <w:r>
        <w:t xml:space="preserve">.</w:t>
      </w:r>
      <w:r>
        <w:t xml:space="preserve"> </w:t>
      </w:r>
      <w:r>
        <w:rPr>
          <w:rStyle w:val="VerbatimChar"/>
        </w:rPr>
        <w:t xml:space="preserve">calc_aa_j_sensitivity_narrow.py</w:t>
      </w:r>
      <w:r>
        <w:t xml:space="preserve"> </w:t>
      </w:r>
      <w:r>
        <w:t xml:space="preserve">— a szűk oszlopos érzékenységi változat, kimenet:</w:t>
      </w:r>
      <w:r>
        <w:t xml:space="preserve"> </w:t>
      </w:r>
      <w:r>
        <w:rPr>
          <w:rStyle w:val="VerbatimChar"/>
        </w:rPr>
        <w:t xml:space="preserve">results_narrow_sensitivity.csv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Eredmény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Szegmens</w:t>
            </w:r>
          </w:p>
        </w:tc>
        <w:tc>
          <w:tcPr/>
          <w:p>
            <w:pPr>
              <w:pStyle w:val="Compact"/>
            </w:pPr>
            <w:r>
              <w:t xml:space="preserve">aa_j (összevont, fő)</w:t>
            </w:r>
          </w:p>
        </w:tc>
        <w:tc>
          <w:tcPr/>
          <w:p>
            <w:pPr>
              <w:pStyle w:val="Compact"/>
            </w:pPr>
            <w:r>
              <w:t xml:space="preserve">aa_j (szűk, érzékenység)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(export-KKV)</w:t>
            </w:r>
          </w:p>
        </w:tc>
        <w:tc>
          <w:tcPr/>
          <w:p>
            <w:pPr>
              <w:pStyle w:val="Compact"/>
            </w:pPr>
            <w:r>
              <w:t xml:space="preserve">0,1183</w:t>
            </w:r>
          </w:p>
        </w:tc>
        <w:tc>
          <w:tcPr/>
          <w:p>
            <w:pPr>
              <w:pStyle w:val="Compact"/>
            </w:pPr>
            <w:r>
              <w:t xml:space="preserve">0,2197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(hazai KKV)</w:t>
            </w:r>
          </w:p>
        </w:tc>
        <w:tc>
          <w:tcPr/>
          <w:p>
            <w:pPr>
              <w:pStyle w:val="Compact"/>
            </w:pPr>
            <w:r>
              <w:t xml:space="preserve">0,1447</w:t>
            </w:r>
          </w:p>
        </w:tc>
        <w:tc>
          <w:tcPr/>
          <w:p>
            <w:pPr>
              <w:pStyle w:val="Compact"/>
            </w:pPr>
            <w:r>
              <w:t xml:space="preserve">0,3318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(nagyvállalat)</w:t>
            </w:r>
          </w:p>
        </w:tc>
        <w:tc>
          <w:tcPr/>
          <w:p>
            <w:pPr>
              <w:pStyle w:val="Compact"/>
            </w:pPr>
            <w:r>
              <w:t xml:space="preserve">0,1388</w:t>
            </w:r>
          </w:p>
        </w:tc>
        <w:tc>
          <w:tcPr/>
          <w:p>
            <w:pPr>
              <w:pStyle w:val="Compact"/>
            </w:pPr>
            <w:r>
              <w:t xml:space="preserve">0,1975</w:t>
            </w:r>
          </w:p>
        </w:tc>
      </w:tr>
    </w:tbl>
    <w:p>
      <w:pPr>
        <w:pStyle w:val="BodyText"/>
      </w:pPr>
      <w:r>
        <w:rPr>
          <w:b/>
          <w:bCs/>
        </w:rPr>
        <w:t xml:space="preserve">Megbízhatóság: ALACSONY / NYITOTT.</w:t>
      </w:r>
      <w:r>
        <w:t xml:space="preserve"> </w:t>
      </w:r>
      <w:r>
        <w:t xml:space="preserve">Ez a leggyengébb pont a 13 paraméter között — ezt a 2026-09-24-i küszöb-javítás (25%→50%) nem oldotta meg, csak a számokat mozdította kicsit. A modell egyenletei szerint (1−</w:t>
      </w:r>
      <w:r>
        <w:rPr>
          <w:rStyle w:val="VerbatimChar"/>
        </w:rPr>
        <w:t xml:space="preserve">aa_j</w:t>
      </w:r>
      <w:r>
        <w:t xml:space="preserve">)-nek a valódi IMPORT-INTENZITÁST kellene mérnie — de sem az</w:t>
      </w:r>
      <w:r>
        <w:t xml:space="preserve"> </w:t>
      </w:r>
      <w:r>
        <w:t xml:space="preserve">“Anyagjellegű ráfordítások”</w:t>
      </w:r>
      <w:r>
        <w:t xml:space="preserve"> </w:t>
      </w:r>
      <w:r>
        <w:t xml:space="preserve">(összevont), sem a szűkebb</w:t>
      </w:r>
      <w:r>
        <w:t xml:space="preserve"> </w:t>
      </w:r>
      <w:r>
        <w:t xml:space="preserve">“Anyagköltség”</w:t>
      </w:r>
      <w:r>
        <w:t xml:space="preserve"> </w:t>
      </w:r>
      <w:r>
        <w:t xml:space="preserve">sor nem azonos az importtal: mindkettő tartalmaz jelentős HAZAI beszerzésű tételeket is (hazai anyag, hazai szolgáltatás, eladott áruk beszerzési értéke). Ez nem mérési pontatlanság, hanem fogalmi rés: egyik változat sem tekinthető a modell</w:t>
      </w:r>
      <w:r>
        <w:t xml:space="preserve"> </w:t>
      </w:r>
      <w:r>
        <w:rPr>
          <w:rStyle w:val="VerbatimChar"/>
        </w:rPr>
        <w:t xml:space="preserve">aa_j</w:t>
      </w:r>
      <w:r>
        <w:t xml:space="preserve">-fogalmának helyes becslésének, csak</w:t>
      </w:r>
      <w:r>
        <w:t xml:space="preserve"> </w:t>
      </w:r>
      <w:r>
        <w:t xml:space="preserve">“munka aránya a nem-tőke ráfordításon belül”</w:t>
      </w:r>
      <w:r>
        <w:t xml:space="preserve">-nek. A választáshoz tényleges importstatisztika (vám-/NAV-adat vagy input-output tábla importoszlopa) kellene. Emiatt jelenleg egyik oszlop sem javasolt végleges kalibrációs értékként — mindkettő csak kiindulópont/érzékenységi sáv.</w:t>
      </w:r>
    </w:p>
    <w:p>
      <w:r>
        <w:br w:type="page"/>
      </w:r>
    </w:p>
    <w:bookmarkEnd w:id="11"/>
    <w:bookmarkStart w:id="12" w:name="X484569cf33e9f4ff179ec9d70be412a901d50aa"/>
    <w:p>
      <w:pPr>
        <w:pStyle w:val="Heading1"/>
      </w:pPr>
      <w:r>
        <w:t xml:space="preserve">4. phi_L — a nagyvállalati szegmens exportaránya</w:t>
      </w:r>
    </w:p>
    <w:p>
      <w:pPr>
        <w:pStyle w:val="FirstParagraph"/>
      </w:pPr>
      <w:r>
        <w:rPr>
          <w:b/>
          <w:bCs/>
        </w:rPr>
        <w:t xml:space="preserve">Definíció</w:t>
      </w:r>
    </w:p>
    <w:p>
      <w:pPr>
        <w:pStyle w:val="BodyText"/>
      </w:pPr>
      <w:r>
        <w:t xml:space="preserve">A nagyvállalati (L, ≥250 fő) szegmens saját kibocsátásának exportra kerülő hányada.</w:t>
      </w:r>
    </w:p>
    <w:p>
      <w:pPr>
        <w:pStyle w:val="BodyText"/>
      </w:pPr>
      <w:r>
        <w:rPr>
          <w:b/>
          <w:bCs/>
        </w:rPr>
        <w:t xml:space="preserve">Gazdasági értelmezés</w:t>
      </w:r>
    </w:p>
    <w:p>
      <w:pPr>
        <w:pStyle w:val="BodyText"/>
      </w:pPr>
      <w:r>
        <w:t xml:space="preserve">Megmutatja, mekkora részben exportál egy tipikus nagyvállalat, szemben a hazai piacra termeléssel. A modell mindhárom típusnál feltételezi, hogy MINDKÉT piacon értékesít (csak eltérő arányban) — ez választja el egymástól a vállalatméretet és a piaci orientációt mint két külön dimenziót.</w:t>
      </w:r>
    </w:p>
    <w:p>
      <w:pPr>
        <w:pStyle w:val="BodyText"/>
      </w:pPr>
      <w:r>
        <w:rPr>
          <w:b/>
          <w:bCs/>
        </w:rPr>
        <w:t xml:space="preserve">Szerep a modellben</w:t>
      </w:r>
    </w:p>
    <w:p>
      <w:pPr>
        <w:pStyle w:val="BodyText"/>
      </w:pPr>
      <w:r>
        <w:t xml:space="preserve">Az L szegmens kibocsátását osztja meg a hazai és export kereslet között, és ebből (</w:t>
      </w:r>
      <w:r>
        <w:rPr>
          <w:rStyle w:val="VerbatimChar"/>
        </w:rPr>
        <w:t xml:space="preserve">om_L</w:t>
      </w:r>
      <w:r>
        <w:t xml:space="preserve">-lel együtt) számolódnak a</w:t>
      </w:r>
      <w:r>
        <w:t xml:space="preserve"> </w:t>
      </w:r>
      <w:r>
        <w:rPr>
          <w:rStyle w:val="VerbatimChar"/>
        </w:rPr>
        <w:t xml:space="preserve">wd_L</w:t>
      </w:r>
      <w:r>
        <w:t xml:space="preserve">/</w:t>
      </w:r>
      <w:r>
        <w:rPr>
          <w:rStyle w:val="VerbatimChar"/>
        </w:rPr>
        <w:t xml:space="preserve">wx_L</w:t>
      </w:r>
      <w:r>
        <w:t xml:space="preserve"> </w:t>
      </w:r>
      <w:r>
        <w:t xml:space="preserve">derivált súlyok is:</w:t>
      </w:r>
    </w:p>
    <w:p>
      <w:pPr>
        <w:pStyle w:val="BlockText"/>
      </w:pPr>
      <w:r>
        <w:rPr>
          <w:i/>
          <w:iCs/>
        </w:rPr>
        <w:t xml:space="preserve">y_L = (1−phi_L)·d_L + phi_L·x_L</w:t>
      </w:r>
    </w:p>
    <w:p>
      <w:pPr>
        <w:pStyle w:val="FirstParagraph"/>
      </w:pPr>
      <w:r>
        <w:rPr>
          <w:b/>
          <w:bCs/>
        </w:rPr>
        <w:t xml:space="preserve">A kiszámítás módja</w:t>
      </w:r>
    </w:p>
    <w:p>
      <w:pPr>
        <w:pStyle w:val="BodyText"/>
      </w:pPr>
      <w:r>
        <w:t xml:space="preserve">Az L szegmensbe tartozó (≥250 fő) cég-évek összesített export-árbevételét osztjuk az összesített teljes árbevételükkel, pooled módon.</w:t>
      </w:r>
    </w:p>
    <w:p>
      <w:pPr>
        <w:pStyle w:val="BlockText"/>
      </w:pPr>
      <w:r>
        <w:rPr>
          <w:i/>
          <w:iCs/>
        </w:rPr>
        <w:t xml:space="preserve">phi_L = ( Σ_{i∈L} Exportértékesítés nettó árbevétele_i ) / ( Σ_{i∈L} Értékesítés nettó árbevétele_i )</w:t>
      </w:r>
    </w:p>
    <w:p>
      <w:pPr>
        <w:pStyle w:val="FirstParagraph"/>
      </w:pPr>
      <w:r>
        <w:rPr>
          <w:b/>
          <w:bCs/>
        </w:rPr>
        <w:t xml:space="preserve">Szükséges inputok</w:t>
      </w:r>
    </w:p>
    <w:p>
      <w:pPr>
        <w:pStyle w:val="Compact"/>
        <w:numPr>
          <w:ilvl w:val="0"/>
          <w:numId w:val="1004"/>
        </w:numPr>
      </w:pPr>
      <w:r>
        <w:t xml:space="preserve">Exportértékesítés nettó árbevétele (L szegmensre)</w:t>
      </w:r>
    </w:p>
    <w:p>
      <w:pPr>
        <w:pStyle w:val="Compact"/>
        <w:numPr>
          <w:ilvl w:val="0"/>
          <w:numId w:val="1004"/>
        </w:numPr>
      </w:pPr>
      <w:r>
        <w:t xml:space="preserve">Értékesítés nettó árbevétele (L szegmensre)</w:t>
      </w:r>
    </w:p>
    <w:p>
      <w:pPr>
        <w:pStyle w:val="Compact"/>
        <w:numPr>
          <w:ilvl w:val="0"/>
          <w:numId w:val="1004"/>
        </w:numPr>
      </w:pPr>
      <w:r>
        <w:t xml:space="preserve">Létszám (fő) (a szegmentációhoz)</w:t>
      </w:r>
    </w:p>
    <w:p>
      <w:pPr>
        <w:pStyle w:val="FirstParagraph"/>
      </w:pPr>
      <w:r>
        <w:rPr>
          <w:b/>
          <w:bCs/>
        </w:rPr>
        <w:t xml:space="preserve">A script rövid leírása</w:t>
      </w:r>
    </w:p>
    <w:p>
      <w:pPr>
        <w:pStyle w:val="BodyText"/>
      </w:pPr>
      <w:r>
        <w:rPr>
          <w:rStyle w:val="VerbatimChar"/>
        </w:rPr>
        <w:t xml:space="preserve">outputs/2026-09-22_tomi_phi_L_opten/calc_phi_L.py</w:t>
      </w:r>
      <w:r>
        <w:t xml:space="preserve"> </w:t>
      </w:r>
      <w:r>
        <w:t xml:space="preserve">— a fő számítás.</w:t>
      </w:r>
      <w:r>
        <w:t xml:space="preserve"> </w:t>
      </w:r>
      <w:r>
        <w:rPr>
          <w:rStyle w:val="VerbatimChar"/>
        </w:rPr>
        <w:t xml:space="preserve">investigate_old_vs_new_gap.py</w:t>
      </w:r>
      <w:r>
        <w:t xml:space="preserve"> </w:t>
      </w:r>
      <w:r>
        <w:t xml:space="preserve">— külön diagnosztikai script, ami feltárta, hogy a régi (0,3649) és új (0,4849) panel közti nagy eltérés 92,9%-át 35, csak a régi panelben szereplő, kereskedelmi/disztribúciós</w:t>
      </w:r>
      <w:r>
        <w:t xml:space="preserve"> </w:t>
      </w:r>
      <w:r>
        <w:t xml:space="preserve">“Fióktelep”</w:t>
      </w:r>
      <w:r>
        <w:t xml:space="preserve"> </w:t>
      </w:r>
      <w:r>
        <w:t xml:space="preserve">(külföldi cégek magyarországi fióktelepei, pl. BP Europa SE, NIKE Retail) magyarázza — ezek elhanyagolható exportaránnyal (0,6%), de nagy hazai forgalommal torzították lefelé a régi</w:t>
      </w:r>
      <w:r>
        <w:t xml:space="preserve"> </w:t>
      </w:r>
      <w:r>
        <w:rPr>
          <w:rStyle w:val="VerbatimChar"/>
        </w:rPr>
        <w:t xml:space="preserve">phi_L</w:t>
      </w:r>
      <w:r>
        <w:t xml:space="preserve">-t.</w:t>
      </w:r>
    </w:p>
    <w:p>
      <w:pPr>
        <w:pStyle w:val="BodyText"/>
      </w:pPr>
      <w:r>
        <w:rPr>
          <w:b/>
          <w:bCs/>
        </w:rPr>
        <w:t xml:space="preserve">Eredmény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Szegmens</w:t>
            </w:r>
          </w:p>
        </w:tc>
        <w:tc>
          <w:tcPr/>
          <w:p>
            <w:pPr>
              <w:pStyle w:val="Compact"/>
            </w:pPr>
            <w:r>
              <w:t xml:space="preserve">phi_L</w:t>
            </w:r>
          </w:p>
        </w:tc>
        <w:tc>
          <w:tcPr/>
          <w:p>
            <w:pPr>
              <w:pStyle w:val="Compact"/>
            </w:pPr>
            <w:r>
              <w:t xml:space="preserve">Cég-év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(nagyvállalat)</w:t>
            </w:r>
          </w:p>
        </w:tc>
        <w:tc>
          <w:tcPr/>
          <w:p>
            <w:pPr>
              <w:pStyle w:val="Compact"/>
            </w:pPr>
            <w:r>
              <w:t xml:space="preserve">0,4849</w:t>
            </w:r>
          </w:p>
        </w:tc>
        <w:tc>
          <w:tcPr/>
          <w:p>
            <w:pPr>
              <w:pStyle w:val="Compact"/>
            </w:pPr>
            <w:r>
              <w:t xml:space="preserve">8 325</w:t>
            </w:r>
          </w:p>
        </w:tc>
      </w:tr>
    </w:tbl>
    <w:p>
      <w:pPr>
        <w:pStyle w:val="BodyText"/>
      </w:pPr>
      <w:r>
        <w:rPr>
          <w:b/>
          <w:bCs/>
        </w:rPr>
        <w:t xml:space="preserve">Megbízhatóság: KÖZEPES.</w:t>
      </w:r>
      <w:r>
        <w:t xml:space="preserve"> </w:t>
      </w:r>
      <w:r>
        <w:t xml:space="preserve">A régi-vs-új panel közti korábbi nagy eltérés gyökere meg lett találva és magyarázva (fióktelep-szennyeződés a régi panelben) — ez erősíti a jelenlegi, új panelen számolt érték megbízhatóságát.</w:t>
      </w:r>
      <w:r>
        <w:t xml:space="preserve"> </w:t>
      </w:r>
      <w:r>
        <w:rPr>
          <w:rStyle w:val="VerbatimChar"/>
        </w:rPr>
        <w:t xml:space="preserve">phi_L</w:t>
      </w:r>
      <w:r>
        <w:t xml:space="preserve">-t a 2026-09-24-i E/D-küszöb-javítás (25%→50%) NEM érinti, mert az L szegmens kizárólag a 250 fős létszámhatárral van definiálva. Egy másik, korábbi (</w:t>
      </w:r>
      <w:r>
        <w:rPr>
          <w:rStyle w:val="VerbatimChar"/>
        </w:rPr>
        <w:t xml:space="preserve">CALIB26</w:t>
      </w:r>
      <w:r>
        <w:t xml:space="preserve">) kalibrációval szemben továbbra is fennáll egy ~46%-os, meg nem magyarázott eltérés (0,4849 vs. 0,331) — ez tehát a küszöb-javítás után is nyitott kérdés marad, és a</w:t>
      </w:r>
      <w:r>
        <w:t xml:space="preserve"> </w:t>
      </w:r>
      <w:r>
        <w:rPr>
          <w:rStyle w:val="VerbatimChar"/>
        </w:rPr>
        <w:t xml:space="preserve">CALIB26</w:t>
      </w:r>
      <w:r>
        <w:t xml:space="preserve"> </w:t>
      </w:r>
      <w:r>
        <w:t xml:space="preserve">mögötti pontos módszertant nem ismerjük.</w:t>
      </w:r>
    </w:p>
    <w:p>
      <w:r>
        <w:br w:type="page"/>
      </w:r>
    </w:p>
    <w:bookmarkEnd w:id="12"/>
    <w:bookmarkStart w:id="13" w:name="lev_e-lev_d-lev_l-tőkeáttétel"/>
    <w:p>
      <w:pPr>
        <w:pStyle w:val="Heading1"/>
      </w:pPr>
      <w:r>
        <w:t xml:space="preserve">5. lev_E, lev_D, lev_L — tőkeáttétel</w:t>
      </w:r>
    </w:p>
    <w:p>
      <w:pPr>
        <w:pStyle w:val="FirstParagraph"/>
      </w:pPr>
      <w:r>
        <w:rPr>
          <w:b/>
          <w:bCs/>
        </w:rPr>
        <w:t xml:space="preserve">Definíció</w:t>
      </w:r>
    </w:p>
    <w:p>
      <w:pPr>
        <w:pStyle w:val="BodyText"/>
      </w:pPr>
      <w:r>
        <w:t xml:space="preserve">Könyv szerinti tőkeáttétel: az adott vállalattípus eszközállománya a saját tőkéjének hányszorosa, egyensúlyi (steady-state) értékként.</w:t>
      </w:r>
    </w:p>
    <w:p>
      <w:pPr>
        <w:pStyle w:val="BodyText"/>
      </w:pPr>
      <w:r>
        <w:rPr>
          <w:b/>
          <w:bCs/>
        </w:rPr>
        <w:t xml:space="preserve">Gazdasági értelmezés</w:t>
      </w:r>
    </w:p>
    <w:p>
      <w:pPr>
        <w:pStyle w:val="BodyText"/>
      </w:pPr>
      <w:r>
        <w:t xml:space="preserve">Minél magasabb a tőkeáttétel, annál nagyobbat üt egy váratlan hozam-sokk a cég saját tőkéjén — ez a pénzügyi akcelerátor-mechanizmus erősségét skálázza típusonként.</w:t>
      </w:r>
    </w:p>
    <w:p>
      <w:pPr>
        <w:pStyle w:val="BodyText"/>
      </w:pPr>
      <w:r>
        <w:rPr>
          <w:b/>
          <w:bCs/>
        </w:rPr>
        <w:t xml:space="preserve">Szerep a modellben</w:t>
      </w:r>
    </w:p>
    <w:p>
      <w:pPr>
        <w:pStyle w:val="BodyText"/>
      </w:pPr>
      <w:r>
        <w:t xml:space="preserve">A nettó vagyon (net worth) egyenletében szorzóként jelenik meg, összekötve a hozamrést (a tőkehozam és a reálkamat különbségét) a saját tőke felhalmozódásával:</w:t>
      </w:r>
    </w:p>
    <w:p>
      <w:pPr>
        <w:pStyle w:val="BlockText"/>
      </w:pPr>
      <w:r>
        <w:rPr>
          <w:i/>
          <w:iCs/>
        </w:rPr>
        <w:t xml:space="preserve">nw_j = omega_nw · ( nw_j(−1) + lev_j · ( ret_j − (r(−1) − infl) ) )</w:t>
      </w:r>
    </w:p>
    <w:p>
      <w:pPr>
        <w:pStyle w:val="FirstParagraph"/>
      </w:pPr>
      <w:r>
        <w:rPr>
          <w:b/>
          <w:bCs/>
        </w:rPr>
        <w:t xml:space="preserve">A kiszámítás módja</w:t>
      </w:r>
    </w:p>
    <w:p>
      <w:pPr>
        <w:pStyle w:val="BodyText"/>
      </w:pPr>
      <w:r>
        <w:t xml:space="preserve">Minden érvényes cég-évre kiszámoljuk az eszközök összesen / saját tőke hányadost, majd szegmensenként vesszük az ÖSSZES (pooled) cég-év mediánját. Érvényességi szűrés: a hányados véges, saját tőke &gt; 0, eszközök összesen &gt; 0, és 1 ≤ lev &lt; 100 (ez kizárja a negatív/nulla saját tőkéjű és a nyilvánvalóan extrém cégeket).</w:t>
      </w:r>
    </w:p>
    <w:p>
      <w:pPr>
        <w:pStyle w:val="BlockText"/>
      </w:pPr>
      <w:r>
        <w:rPr>
          <w:i/>
          <w:iCs/>
        </w:rPr>
        <w:t xml:space="preserve">lev_j = median_{i∈j} ( Eszközök összesen_i / Saját tőke_i )</w:t>
      </w:r>
    </w:p>
    <w:p>
      <w:pPr>
        <w:pStyle w:val="FirstParagraph"/>
      </w:pPr>
      <w:r>
        <w:t xml:space="preserve">Fontos fogalmi korlát: ez a KÖNYV szerinti (mérlegalapú) tőkeáttétel; a modell BGG-eredetű</w:t>
      </w:r>
      <w:r>
        <w:t xml:space="preserve"> </w:t>
      </w:r>
      <w:r>
        <w:rPr>
          <w:rStyle w:val="VerbatimChar"/>
        </w:rPr>
        <w:t xml:space="preserve">lev_j</w:t>
      </w:r>
      <w:r>
        <w:t xml:space="preserve">-je piaci értékelésű K/N — a könyv szerinti a szokásos közelítés, de fogalmilag nem azonos.</w:t>
      </w:r>
    </w:p>
    <w:p>
      <w:pPr>
        <w:pStyle w:val="BodyText"/>
      </w:pPr>
      <w:r>
        <w:rPr>
          <w:b/>
          <w:bCs/>
        </w:rPr>
        <w:t xml:space="preserve">Szükséges inputok</w:t>
      </w:r>
    </w:p>
    <w:p>
      <w:pPr>
        <w:pStyle w:val="Compact"/>
        <w:numPr>
          <w:ilvl w:val="0"/>
          <w:numId w:val="1005"/>
        </w:numPr>
      </w:pPr>
      <w:r>
        <w:t xml:space="preserve">ESZKÖZÖK ÖSSZESEN</w:t>
      </w:r>
    </w:p>
    <w:p>
      <w:pPr>
        <w:pStyle w:val="Compact"/>
        <w:numPr>
          <w:ilvl w:val="0"/>
          <w:numId w:val="1005"/>
        </w:numPr>
      </w:pPr>
      <w:r>
        <w:t xml:space="preserve">Saját tőke</w:t>
      </w:r>
    </w:p>
    <w:p>
      <w:pPr>
        <w:pStyle w:val="Compact"/>
        <w:numPr>
          <w:ilvl w:val="0"/>
          <w:numId w:val="1005"/>
        </w:numPr>
      </w:pPr>
      <w:r>
        <w:t xml:space="preserve">Létszám, export-arány (a szegmentációhoz)</w:t>
      </w:r>
    </w:p>
    <w:p>
      <w:pPr>
        <w:pStyle w:val="FirstParagraph"/>
      </w:pPr>
      <w:r>
        <w:rPr>
          <w:b/>
          <w:bCs/>
        </w:rPr>
        <w:t xml:space="preserve">A script rövid leírása</w:t>
      </w:r>
    </w:p>
    <w:p>
      <w:pPr>
        <w:pStyle w:val="BodyText"/>
      </w:pPr>
      <w:r>
        <w:rPr>
          <w:rStyle w:val="VerbatimChar"/>
        </w:rPr>
        <w:t xml:space="preserve">outputs/2026-09-22_tomi_lev_j_opten/calc_lev_j.py</w:t>
      </w:r>
      <w:r>
        <w:t xml:space="preserve"> </w:t>
      </w:r>
      <w:r>
        <w:t xml:space="preserve">— a fő számítás.</w:t>
      </w:r>
      <w:r>
        <w:t xml:space="preserve"> </w:t>
      </w:r>
      <w:r>
        <w:rPr>
          <w:rStyle w:val="VerbatimChar"/>
        </w:rPr>
        <w:t xml:space="preserve">calc_lev_shl_threshold50.py</w:t>
      </w:r>
      <w:r>
        <w:t xml:space="preserve"> </w:t>
      </w:r>
      <w:r>
        <w:t xml:space="preserve">— az exportküszöb 25%→50%-os érzékenységi tesztje. Az évablak×küszöb 2×2 kiegészítő tesztje:</w:t>
      </w:r>
      <w:r>
        <w:t xml:space="preserve"> </w:t>
      </w:r>
      <w:r>
        <w:rPr>
          <w:rStyle w:val="VerbatimChar"/>
        </w:rPr>
        <w:t xml:space="preserve">outputs/2026-09-23_tomi_evablak_kuszob_erzekenyseg/calc_evablak_kuszob_2x2.py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Eredmény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Szegmens</w:t>
            </w:r>
          </w:p>
        </w:tc>
        <w:tc>
          <w:tcPr/>
          <w:p>
            <w:pPr>
              <w:pStyle w:val="Compact"/>
            </w:pPr>
            <w:r>
              <w:t xml:space="preserve">lev_j (medián)</w:t>
            </w:r>
          </w:p>
        </w:tc>
        <w:tc>
          <w:tcPr/>
          <w:p>
            <w:pPr>
              <w:pStyle w:val="Compact"/>
            </w:pPr>
            <w:r>
              <w:t xml:space="preserve">Érvényes cég-év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(export-KKV)</w:t>
            </w:r>
          </w:p>
        </w:tc>
        <w:tc>
          <w:tcPr/>
          <w:p>
            <w:pPr>
              <w:pStyle w:val="Compact"/>
            </w:pPr>
            <w:r>
              <w:t xml:space="preserve">1,8531</w:t>
            </w:r>
          </w:p>
        </w:tc>
        <w:tc>
          <w:tcPr/>
          <w:p>
            <w:pPr>
              <w:pStyle w:val="Compact"/>
            </w:pPr>
            <w:r>
              <w:t xml:space="preserve">10 091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(hazai KKV)</w:t>
            </w:r>
          </w:p>
        </w:tc>
        <w:tc>
          <w:tcPr/>
          <w:p>
            <w:pPr>
              <w:pStyle w:val="Compact"/>
            </w:pPr>
            <w:r>
              <w:t xml:space="preserve">1,7389</w:t>
            </w:r>
          </w:p>
        </w:tc>
        <w:tc>
          <w:tcPr/>
          <w:p>
            <w:pPr>
              <w:pStyle w:val="Compact"/>
            </w:pPr>
            <w:r>
              <w:t xml:space="preserve">271 700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(nagyvállalat)</w:t>
            </w:r>
          </w:p>
        </w:tc>
        <w:tc>
          <w:tcPr/>
          <w:p>
            <w:pPr>
              <w:pStyle w:val="Compact"/>
            </w:pPr>
            <w:r>
              <w:t xml:space="preserve">2,2486</w:t>
            </w:r>
          </w:p>
        </w:tc>
        <w:tc>
          <w:tcPr/>
          <w:p>
            <w:pPr>
              <w:pStyle w:val="Compact"/>
            </w:pPr>
            <w:r>
              <w:t xml:space="preserve">8 079</w:t>
            </w:r>
          </w:p>
        </w:tc>
      </w:tr>
    </w:tbl>
    <w:p>
      <w:pPr>
        <w:pStyle w:val="BodyText"/>
      </w:pPr>
      <w:r>
        <w:rPr>
          <w:b/>
          <w:bCs/>
        </w:rPr>
        <w:t xml:space="preserve">Megbízhatóság: KÖZEPES.</w:t>
      </w:r>
      <w:r>
        <w:t xml:space="preserve"> </w:t>
      </w:r>
      <w:r>
        <w:t xml:space="preserve">A számítás önmagában robusztus: a 25%→50%-os küszöb-javítás alig mozdította az értékeket (</w:t>
      </w:r>
      <w:r>
        <w:rPr>
          <w:rStyle w:val="VerbatimChar"/>
        </w:rPr>
        <w:t xml:space="preserve">lev_E</w:t>
      </w:r>
      <w:r>
        <w:t xml:space="preserve">: 1,895→1,853;</w:t>
      </w:r>
      <w:r>
        <w:t xml:space="preserve"> </w:t>
      </w:r>
      <w:r>
        <w:rPr>
          <w:rStyle w:val="VerbatimChar"/>
        </w:rPr>
        <w:t xml:space="preserve">lev_D</w:t>
      </w:r>
      <w:r>
        <w:t xml:space="preserve">: 1,735→1,739), és az E&gt;D sorrend a küszöb- és évablak-érzékenységi teszt mind a négy kombinációjában megmaradt — a saját eredmény tehát belsőleg stabil, a korábbi 25%-os hiba itt nem torzított érdemben. Van viszont egy fennálló, meg nem oldott külső ellentmondás: egy másik, korábbi (</w:t>
      </w:r>
      <w:r>
        <w:rPr>
          <w:rStyle w:val="VerbatimChar"/>
        </w:rPr>
        <w:t xml:space="preserve">CALIB26</w:t>
      </w:r>
      <w:r>
        <w:t xml:space="preserve">) kalibráció fordított sorrendet ad (</w:t>
      </w:r>
      <w:r>
        <w:rPr>
          <w:rStyle w:val="VerbatimChar"/>
        </w:rPr>
        <w:t xml:space="preserve">lev_D</w:t>
      </w:r>
      <w:r>
        <w:t xml:space="preserve">&gt;</w:t>
      </w:r>
      <w:r>
        <w:rPr>
          <w:rStyle w:val="VerbatimChar"/>
        </w:rPr>
        <w:t xml:space="preserve">lev_E</w:t>
      </w:r>
      <w:r>
        <w:t xml:space="preserve">, 1,762/2,200), és ezt a mostani küszöb-javítás sem oldotta meg (a rés 7,6%-ról csak 5,2%-ra csökkent</w:t>
      </w:r>
      <w:r>
        <w:t xml:space="preserve"> </w:t>
      </w:r>
      <w:r>
        <w:rPr>
          <w:rStyle w:val="VerbatimChar"/>
        </w:rPr>
        <w:t xml:space="preserve">lev_E</w:t>
      </w:r>
      <w:r>
        <w:t xml:space="preserve">-nél,</w:t>
      </w:r>
      <w:r>
        <w:t xml:space="preserve"> </w:t>
      </w:r>
      <w:r>
        <w:rPr>
          <w:rStyle w:val="VerbatimChar"/>
        </w:rPr>
        <w:t xml:space="preserve">lev_D</w:t>
      </w:r>
      <w:r>
        <w:t xml:space="preserve">-nél és a sorrend-fordulásban gyakorlatilag nem változott) — feltehetően egy eltérő tőkeáttétel-KÉPLET (a forrás</w:t>
      </w:r>
      <w:r>
        <w:t xml:space="preserve"> </w:t>
      </w:r>
      <w:r>
        <w:t xml:space="preserve">“teljes mérleg”</w:t>
      </w:r>
      <w:r>
        <w:t xml:space="preserve"> </w:t>
      </w:r>
      <w:r>
        <w:t xml:space="preserve">megjelölése) áll mögötte, amit csak a kollégával lehet tisztázni. Emellett fogalmi korlát, hogy ez könyv szerinti, nem piaci értékelésű tőkeáttétel.</w:t>
      </w:r>
    </w:p>
    <w:p>
      <w:r>
        <w:br w:type="page"/>
      </w:r>
    </w:p>
    <w:bookmarkEnd w:id="13"/>
    <w:bookmarkStart w:id="14" w:name="Xa5565094dacf3e7bdf075ee06723a98aa9b6701"/>
    <w:p>
      <w:pPr>
        <w:pStyle w:val="Heading1"/>
      </w:pPr>
      <w:r>
        <w:t xml:space="preserve">6. rho_acc — cégszintű hitelstátusz-perzisztencia (leíró mutató)</w:t>
      </w:r>
    </w:p>
    <w:p>
      <w:pPr>
        <w:pStyle w:val="FirstParagraph"/>
      </w:pPr>
      <w:r>
        <w:rPr>
          <w:b/>
          <w:bCs/>
        </w:rPr>
        <w:t xml:space="preserve">Definíció</w:t>
      </w:r>
    </w:p>
    <w:p>
      <w:pPr>
        <w:pStyle w:val="BodyText"/>
      </w:pPr>
      <w:r>
        <w:t xml:space="preserve">Egy kétállapotú (van hitele / nincs hitele) Markov-folyamat átmeneti valószínűségeiből számolt perzisztencia-mutató: annak (közelítő) mértéke, hogy egy cég hitelstátusza mennyire marad állandó egyik évről a másikra.</w:t>
      </w:r>
    </w:p>
    <w:p>
      <w:pPr>
        <w:pStyle w:val="BodyText"/>
      </w:pPr>
      <w:r>
        <w:rPr>
          <w:b/>
          <w:bCs/>
        </w:rPr>
        <w:t xml:space="preserve">Gazdasági értelmezés</w:t>
      </w:r>
    </w:p>
    <w:p>
      <w:pPr>
        <w:pStyle w:val="BodyText"/>
      </w:pPr>
      <w:r>
        <w:t xml:space="preserve">FIGYELEM: ez NEM azonos a modell hozzáférési (access) állapotváltozójának strukturális, dinamikus perzisztencia-paraméterével.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és a korábbi</w:t>
      </w:r>
      <w:r>
        <w:t xml:space="preserve"> </w:t>
      </w:r>
      <w:r>
        <w:rPr>
          <w:rStyle w:val="VerbatimChar"/>
        </w:rPr>
        <w:t xml:space="preserve">s15_opten_kalibracio.m</w:t>
      </w:r>
      <w:r>
        <w:t xml:space="preserve"> </w:t>
      </w:r>
      <w:r>
        <w:t xml:space="preserve">script is explicit figyelmezteti, hogy ez egy leíró cégszintű mutató, ami főként ÁLLANDÓ (idő-invariáns) cég-heterogenitást tükröz — a cégek nagy része négy-öt év alatt egyszer sem vált hitelstátuszt —, nem a modellbeli dinamikus alkalmazkodást.</w:t>
      </w:r>
    </w:p>
    <w:p>
      <w:pPr>
        <w:pStyle w:val="BodyText"/>
      </w:pPr>
      <w:r>
        <w:rPr>
          <w:b/>
          <w:bCs/>
        </w:rPr>
        <w:t xml:space="preserve">Szerep a modellben (tervezett, de nem ez a becslés tölti be)</w:t>
      </w:r>
    </w:p>
    <w:p>
      <w:pPr>
        <w:pStyle w:val="BodyText"/>
      </w:pPr>
      <w:r>
        <w:t xml:space="preserve">A modell hozzáférési állapotváltozójának egyenletében szerepelne mint az állapot múltbeli értékének súlya:</w:t>
      </w:r>
    </w:p>
    <w:p>
      <w:pPr>
        <w:pStyle w:val="BlockText"/>
      </w:pPr>
      <w:r>
        <w:rPr>
          <w:i/>
          <w:iCs/>
        </w:rPr>
        <w:t xml:space="preserve">acc_j = rho_acc · acc_j(−1) − lambda_acc_j · efp_j</w:t>
      </w:r>
    </w:p>
    <w:p>
      <w:pPr>
        <w:pStyle w:val="FirstParagraph"/>
      </w:pPr>
      <w:r>
        <w:t xml:space="preserve">Az itt közölt</w:t>
      </w:r>
      <w:r>
        <w:t xml:space="preserve"> </w:t>
      </w:r>
      <w:r>
        <w:rPr>
          <w:rStyle w:val="VerbatimChar"/>
        </w:rPr>
        <w:t xml:space="preserve">rho_acc</w:t>
      </w:r>
      <w:r>
        <w:t xml:space="preserve"> </w:t>
      </w:r>
      <w:r>
        <w:t xml:space="preserve">ehhez csak érzékenységi/referenciapont, nem horgony.</w:t>
      </w:r>
    </w:p>
    <w:p>
      <w:pPr>
        <w:pStyle w:val="BodyText"/>
      </w:pPr>
      <w:r>
        <w:rPr>
          <w:b/>
          <w:bCs/>
        </w:rPr>
        <w:t xml:space="preserve">A kiszámítás módja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src/1_adat/01_opten_panel_tisztitas.py</w:t>
      </w:r>
      <w:r>
        <w:t xml:space="preserve">-ban (250–251. sor) már meglévő</w:t>
      </w:r>
      <w:r>
        <w:t xml:space="preserve"> </w:t>
      </w:r>
      <w:r>
        <w:t xml:space="preserve">“van_hitel”</w:t>
      </w:r>
      <w:r>
        <w:t xml:space="preserve"> </w:t>
      </w:r>
      <w:r>
        <w:t xml:space="preserve">mező pontos képletét reprodukáltuk az új panelen, majd cégenként, egymást követő évekre megnéztük a hitelstátusz-váltásokat, és ebből számoltunk átmeneti valószínűségeket (p11 − p01 típusú perzisztencia-mérték), összesítve és szegmensenként is.</w:t>
      </w:r>
    </w:p>
    <w:p>
      <w:pPr>
        <w:pStyle w:val="BlockText"/>
      </w:pPr>
      <w:r>
        <w:rPr>
          <w:i/>
          <w:iCs/>
        </w:rPr>
        <w:t xml:space="preserve">rho_acc ≈ p(hitele van t+1-ben | hitele volt t-ben) − p(hitele van t+1-ben | nem volt hitele t-ben)</w:t>
      </w:r>
    </w:p>
    <w:p>
      <w:pPr>
        <w:pStyle w:val="FirstParagraph"/>
      </w:pPr>
      <w:r>
        <w:rPr>
          <w:b/>
          <w:bCs/>
        </w:rPr>
        <w:t xml:space="preserve">Szükséges inputok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t xml:space="preserve">“van_hitel”</w:t>
      </w:r>
      <w:r>
        <w:t xml:space="preserve"> </w:t>
      </w:r>
      <w:r>
        <w:t xml:space="preserve">mező reprodukálásához szükséges hitel-jellegű mérlegsorok (pl. Rövid/Hosszú lejáratú kölcsönök)</w:t>
      </w:r>
    </w:p>
    <w:p>
      <w:pPr>
        <w:pStyle w:val="Compact"/>
        <w:numPr>
          <w:ilvl w:val="0"/>
          <w:numId w:val="1006"/>
        </w:numPr>
      </w:pPr>
      <w:r>
        <w:t xml:space="preserve">Cégazonosító, év (a cégenkénti időbeli sorrendhez)</w:t>
      </w:r>
    </w:p>
    <w:p>
      <w:pPr>
        <w:pStyle w:val="FirstParagraph"/>
      </w:pPr>
      <w:r>
        <w:rPr>
          <w:b/>
          <w:bCs/>
        </w:rPr>
        <w:t xml:space="preserve">A script rövid leírása</w:t>
      </w:r>
    </w:p>
    <w:p>
      <w:pPr>
        <w:pStyle w:val="BodyText"/>
      </w:pPr>
      <w:r>
        <w:rPr>
          <w:rStyle w:val="VerbatimChar"/>
        </w:rPr>
        <w:t xml:space="preserve">outputs/2026-09-22_tomi_rho_acc_opten/</w:t>
      </w:r>
      <w:r>
        <w:t xml:space="preserve"> </w:t>
      </w:r>
      <w:r>
        <w:t xml:space="preserve">— a számítás a</w:t>
      </w:r>
      <w:r>
        <w:t xml:space="preserve"> </w:t>
      </w:r>
      <w:r>
        <w:rPr>
          <w:rStyle w:val="VerbatimChar"/>
        </w:rPr>
        <w:t xml:space="preserve">01_opten_panel_tisztitas.py</w:t>
      </w:r>
      <w:r>
        <w:t xml:space="preserve">-ban már azonosított van_hitel-képletet alkalmazza az új 2017–2025 panelre, majd cégenkénti átmeneti mátrixot épít.</w:t>
      </w:r>
    </w:p>
    <w:p>
      <w:pPr>
        <w:pStyle w:val="BodyText"/>
      </w:pPr>
      <w:r>
        <w:rPr>
          <w:b/>
          <w:bCs/>
        </w:rPr>
        <w:t xml:space="preserve">Eredmény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Bontás</w:t>
            </w:r>
          </w:p>
        </w:tc>
        <w:tc>
          <w:tcPr/>
          <w:p>
            <w:pPr>
              <w:pStyle w:val="Compact"/>
            </w:pPr>
            <w:r>
              <w:t xml:space="preserve">rho_acc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Teljes minta (negyedéves, nem szegmentált — a küszöb-javítás nem érinti)</w:t>
            </w:r>
          </w:p>
        </w:tc>
        <w:tc>
          <w:tcPr/>
          <w:p>
            <w:pPr>
              <w:pStyle w:val="Compact"/>
            </w:pPr>
            <w:r>
              <w:t xml:space="preserve">0,9656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(export-KKV,</w:t>
            </w:r>
            <w:r>
              <w:t xml:space="preserve"> </w:t>
            </w:r>
            <w:r>
              <w:t xml:space="preserve">“mindkét évben E”</w:t>
            </w:r>
            <w:r>
              <w:t xml:space="preserve"> </w:t>
            </w:r>
            <w:r>
              <w:t xml:space="preserve">javított bontás)</w:t>
            </w:r>
          </w:p>
        </w:tc>
        <w:tc>
          <w:tcPr/>
          <w:p>
            <w:pPr>
              <w:pStyle w:val="Compact"/>
            </w:pPr>
            <w:r>
              <w:t xml:space="preserve">0,959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(hazai KKV,</w:t>
            </w:r>
            <w:r>
              <w:t xml:space="preserve"> </w:t>
            </w:r>
            <w:r>
              <w:t xml:space="preserve">“mindkét évben D”</w:t>
            </w:r>
            <w:r>
              <w:t xml:space="preserve"> </w:t>
            </w:r>
            <w:r>
              <w:t xml:space="preserve">javított bontás)</w:t>
            </w:r>
          </w:p>
        </w:tc>
        <w:tc>
          <w:tcPr/>
          <w:p>
            <w:pPr>
              <w:pStyle w:val="Compact"/>
            </w:pPr>
            <w:r>
              <w:t xml:space="preserve">0,967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(nagyvállalat,</w:t>
            </w:r>
            <w:r>
              <w:t xml:space="preserve"> </w:t>
            </w:r>
            <w:r>
              <w:t xml:space="preserve">“mindkét évben L”</w:t>
            </w:r>
            <w:r>
              <w:t xml:space="preserve"> </w:t>
            </w:r>
            <w:r>
              <w:t xml:space="preserve">javított bontás)</w:t>
            </w:r>
          </w:p>
        </w:tc>
        <w:tc>
          <w:tcPr/>
          <w:p>
            <w:pPr>
              <w:pStyle w:val="Compact"/>
            </w:pPr>
            <w:r>
              <w:t xml:space="preserve">0,960</w:t>
            </w:r>
          </w:p>
        </w:tc>
      </w:tr>
    </w:tbl>
    <w:p>
      <w:pPr>
        <w:pStyle w:val="BodyText"/>
      </w:pPr>
      <w:r>
        <w:rPr>
          <w:b/>
          <w:bCs/>
        </w:rPr>
        <w:t xml:space="preserve">Megbízhatóság: ALACSONY / NYITOTT.</w:t>
      </w:r>
      <w:r>
        <w:t xml:space="preserve"> </w:t>
      </w:r>
      <w:r>
        <w:t xml:space="preserve">Explicit NEM kalibrációs horgony, csak leíró/érzékenységi pont — ezt maga a projekt dokumentációja (</w:t>
      </w:r>
      <w:r>
        <w:rPr>
          <w:rStyle w:val="VerbatimChar"/>
        </w:rPr>
        <w:t xml:space="preserve">CLAUDE.md</w:t>
      </w:r>
      <w:r>
        <w:t xml:space="preserve">) is így minősíti. A magas érték (0,94–0,97) nagyrészt azt tükrözi, hogy a cégek túlnyomó többsége évek alatt egyszer sem vált hitelstátuszt, tehát a mutató főként állandó cég-heterogenitást mér, nem a modellbeli dinamikus access-állapot valódi perzisztenciáját. A modell strukturális</w:t>
      </w:r>
      <w:r>
        <w:t xml:space="preserve"> </w:t>
      </w:r>
      <w:r>
        <w:rPr>
          <w:rStyle w:val="VerbatimChar"/>
        </w:rPr>
        <w:t xml:space="preserve">rho_acc</w:t>
      </w:r>
      <w:r>
        <w:t xml:space="preserve">-jának becsléséhez más módszertan (pl. a hozzáférési állapot közvetlen, dinamikus azonosítása) kellene. (Az ÖSSZES sor 2026-09-24-i küszöb-javítás után is 0,9656 — ezt a mutatót nem érinti az E/D-küszöb, csak a szegmensenkénti bontást.)</w:t>
      </w:r>
    </w:p>
    <w:p>
      <w:r>
        <w:br w:type="page"/>
      </w:r>
    </w:p>
    <w:bookmarkEnd w:id="14"/>
    <w:bookmarkStart w:id="15" w:name="záró-megjegyzés"/>
    <w:p>
      <w:pPr>
        <w:pStyle w:val="Heading1"/>
      </w:pPr>
      <w:r>
        <w:t xml:space="preserve">Záró megjegyzés</w:t>
      </w:r>
    </w:p>
    <w:p>
      <w:pPr>
        <w:pStyle w:val="FirstParagraph"/>
      </w:pPr>
      <w:r>
        <w:t xml:space="preserve">Ez a 13 paraméter a</w:t>
      </w:r>
      <w:r>
        <w:t xml:space="preserve"> </w:t>
      </w:r>
      <w:r>
        <w:rPr>
          <w:rStyle w:val="VerbatimChar"/>
        </w:rPr>
        <w:t xml:space="preserve">parameterek_szamolasa.xlsx</w:t>
      </w:r>
      <w:r>
        <w:t xml:space="preserve"> </w:t>
      </w:r>
      <w:r>
        <w:t xml:space="preserve">“forrás”</w:t>
      </w:r>
      <w:r>
        <w:t xml:space="preserve"> </w:t>
      </w:r>
      <w:r>
        <w:t xml:space="preserve">oszlopában közvetlenül megadott OPTEN-képletű tételek teljes köre — a fennmaradó ~24 Tomi-tételnek nincs ilyen közvetlen, kész OPTEN-formulája (irodalmi horgony, korábban megbukott azonosítási kísérlet, vagy még ki nem dolgozott módszertan). A teljes munkamenet minden dokumentuma, script-je és eredménye az</w:t>
      </w:r>
      <w:r>
        <w:t xml:space="preserve"> </w:t>
      </w:r>
      <w:r>
        <w:rPr>
          <w:rStyle w:val="VerbatimChar"/>
        </w:rPr>
        <w:t xml:space="preserve">outputs/INDEX.md</w:t>
      </w:r>
      <w:r>
        <w:t xml:space="preserve">-ből érhető el. A legfrissebb, ezen paraméterek egy részét (</w:t>
      </w:r>
      <w:r>
        <w:rPr>
          <w:rStyle w:val="VerbatimChar"/>
        </w:rPr>
        <w:t xml:space="preserve">om_j</w:t>
      </w:r>
      <w:r>
        <w:t xml:space="preserve">,</w:t>
      </w:r>
      <w:r>
        <w:t xml:space="preserve"> </w:t>
      </w:r>
      <w:r>
        <w:rPr>
          <w:rStyle w:val="VerbatimChar"/>
        </w:rPr>
        <w:t xml:space="preserve">shl_j</w:t>
      </w:r>
      <w:r>
        <w:t xml:space="preserve">,</w:t>
      </w:r>
      <w:r>
        <w:t xml:space="preserve"> </w:t>
      </w:r>
      <w:r>
        <w:rPr>
          <w:rStyle w:val="VerbatimChar"/>
        </w:rPr>
        <w:t xml:space="preserve">phi_L</w:t>
      </w:r>
      <w:r>
        <w:t xml:space="preserve">,</w:t>
      </w:r>
      <w:r>
        <w:t xml:space="preserve"> </w:t>
      </w:r>
      <w:r>
        <w:rPr>
          <w:rStyle w:val="VerbatimChar"/>
        </w:rPr>
        <w:t xml:space="preserve">lev_j</w:t>
      </w:r>
      <w:r>
        <w:t xml:space="preserve">) egy korábbi kollégai kalibrációval (</w:t>
      </w:r>
      <w:r>
        <w:t xml:space="preserve">“CALIB26”</w:t>
      </w:r>
      <w:r>
        <w:t xml:space="preserve">) összevető elemzés:</w:t>
      </w:r>
      <w:r>
        <w:t xml:space="preserve"> </w:t>
      </w:r>
      <w:r>
        <w:rPr>
          <w:rStyle w:val="VerbatimChar"/>
        </w:rPr>
        <w:t xml:space="preserve">outputs/2026-09-23_tomi_calib26_osszevetes.md</w:t>
      </w:r>
      <w:r>
        <w:t xml:space="preserve">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 első 13, Opten-adatból számolt DSGE-paraméter</dc:title>
  <dc:creator/>
  <cp:keywords/>
  <dcterms:created xsi:type="dcterms:W3CDTF">2026-09-24T14:39:20Z</dcterms:created>
  <dcterms:modified xsi:type="dcterms:W3CDTF">2026-09-24T14:39:20Z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Módszertani összefoglaló — DSGE_mkik projekt, Tomi Opten-kalibrációs munkája</vt:lpwstr>
  </property>
</Properties>
</file>