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Tomi maradék 26 paramétere</w:t>
      </w:r>
    </w:p>
    <w:p>
      <w:pPr>
        <w:pStyle w:val="Subtitle"/>
      </w:pPr>
      <w:r>
        <w:t xml:space="preserve">Módszertani összefoglaló — DSGE_mkik projekt, a 13 Opten-számolt tételen kívüli tételek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Készült: 2026-09-24. Ez a dokumentum a</w:t>
      </w:r>
      <w:r>
        <w:t xml:space="preserve"> </w:t>
      </w:r>
      <w:r>
        <w:rPr>
          <w:rStyle w:val="VerbatimChar"/>
        </w:rPr>
        <w:t xml:space="preserve">parameterek_szamolasa.xlsx</w:t>
      </w:r>
      <w:r>
        <w:t xml:space="preserve"> </w:t>
      </w:r>
      <w:r>
        <w:t xml:space="preserve">“Ki</w:t>
      </w:r>
      <w:r>
        <w:t xml:space="preserve"> </w:t>
      </w:r>
      <w:r>
        <w:t xml:space="preserve">számolja?”</w:t>
      </w:r>
      <w:r>
        <w:t xml:space="preserve"> </w:t>
      </w:r>
      <w:r>
        <w:t xml:space="preserve">oszlopa szerint Tominak jutó 37 paraméterből azt a részt fedi</w:t>
      </w:r>
      <w:r>
        <w:t xml:space="preserve"> </w:t>
      </w:r>
      <w:r>
        <w:t xml:space="preserve">le, ami</w:t>
      </w:r>
      <w:r>
        <w:t xml:space="preserve"> </w:t>
      </w:r>
      <w:r>
        <w:rPr>
          <w:b/>
          <w:bCs/>
        </w:rPr>
        <w:t xml:space="preserve">nincs benne</w:t>
      </w:r>
      <w:r>
        <w:t xml:space="preserve"> </w:t>
      </w:r>
      <w:r>
        <w:t xml:space="preserve">a korábbi,</w:t>
      </w:r>
      <w:r>
        <w:t xml:space="preserve"> </w:t>
      </w:r>
      <w:r>
        <w:t xml:space="preserve">“Az első 13, Opten-adatból számolt</w:t>
      </w:r>
      <w:r>
        <w:t xml:space="preserve"> </w:t>
      </w:r>
      <w:r>
        <w:t xml:space="preserve">DSGE-paraméter”</w:t>
      </w:r>
      <w:r>
        <w:t xml:space="preserve"> </w:t>
      </w:r>
      <w:r>
        <w:t xml:space="preserve">dokumentumban (</w:t>
      </w:r>
      <w:r>
        <w:rPr>
          <w:rStyle w:val="VerbatimChar"/>
        </w:rPr>
        <w:t xml:space="preserve">om_j</w:t>
      </w:r>
      <w:r>
        <w:t xml:space="preserve">,</w:t>
      </w:r>
      <w:r>
        <w:t xml:space="preserve"> </w:t>
      </w:r>
      <w:r>
        <w:rPr>
          <w:rStyle w:val="VerbatimChar"/>
        </w:rPr>
        <w:t xml:space="preserve">shl_j</w:t>
      </w:r>
      <w:r>
        <w:t xml:space="preserve">,</w:t>
      </w:r>
      <w:r>
        <w:t xml:space="preserve"> </w:t>
      </w:r>
      <w:r>
        <w:rPr>
          <w:rStyle w:val="VerbatimChar"/>
        </w:rPr>
        <w:t xml:space="preserve">aa_j</w:t>
      </w:r>
      <w:r>
        <w:t xml:space="preserve">,</w:t>
      </w:r>
      <w:r>
        <w:t xml:space="preserve"> </w:t>
      </w:r>
      <w:r>
        <w:rPr>
          <w:rStyle w:val="VerbatimChar"/>
        </w:rPr>
        <w:t xml:space="preserve">phi_L</w:t>
      </w:r>
      <w:r>
        <w:t xml:space="preserve">,</w:t>
      </w:r>
      <w:r>
        <w:t xml:space="preserve"> </w:t>
      </w:r>
      <w:r>
        <w:rPr>
          <w:rStyle w:val="VerbatimChar"/>
        </w:rPr>
        <w:t xml:space="preserve">lev_j</w:t>
      </w:r>
      <w:r>
        <w:t xml:space="preserve">,</w:t>
      </w:r>
      <w:r>
        <w:t xml:space="preserve"> </w:t>
      </w:r>
      <w:r>
        <w:rPr>
          <w:rStyle w:val="VerbatimChar"/>
        </w:rPr>
        <w:t xml:space="preserve">rho_acc</w:t>
      </w:r>
      <w:r>
        <w:t xml:space="preserve">). Ezeknek a tételeknek</w:t>
      </w:r>
      <w:r>
        <w:t xml:space="preserve"> </w:t>
      </w:r>
      <w:r>
        <w:rPr>
          <w:b/>
          <w:bCs/>
        </w:rPr>
        <w:t xml:space="preserve">nincs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parameterek_szamolasa.xlsx</w:t>
      </w:r>
      <w:r>
        <w:rPr>
          <w:b/>
          <w:bCs/>
        </w:rPr>
        <w:t xml:space="preserve"> </w:t>
      </w:r>
      <w:r>
        <w:rPr>
          <w:b/>
          <w:bCs/>
        </w:rPr>
        <w:t xml:space="preserve">“forrás”</w:t>
      </w:r>
      <w:r>
        <w:rPr>
          <w:b/>
          <w:bCs/>
        </w:rPr>
        <w:t xml:space="preserve"> </w:t>
      </w:r>
      <w:r>
        <w:rPr>
          <w:b/>
          <w:bCs/>
        </w:rPr>
        <w:t xml:space="preserve">oszlopában megadott, közvetlenül alkalmazható OPTEN-képlete</w:t>
      </w:r>
      <w:r>
        <w:t xml:space="preserve"> </w:t>
      </w:r>
      <w:r>
        <w:t xml:space="preserve">—</w:t>
      </w:r>
      <w:r>
        <w:t xml:space="preserve"> </w:t>
      </w:r>
      <w:r>
        <w:t xml:space="preserve">vagy tisztán szakirodalmi horgony, vagy egy megkísérelt, de nem</w:t>
      </w:r>
      <w:r>
        <w:t xml:space="preserve"> </w:t>
      </w:r>
      <w:r>
        <w:t xml:space="preserve">kalibráció-kész feltáró becslés, vagy teljesen nyitott, adathiányos</w:t>
      </w:r>
      <w:r>
        <w:t xml:space="preserve"> </w:t>
      </w:r>
      <w:r>
        <w:t xml:space="preserve">tétel.</w:t>
      </w:r>
    </w:p>
    <w:p>
      <w:pPr>
        <w:pStyle w:val="BodyText"/>
      </w:pPr>
      <w:r>
        <w:rPr>
          <w:b/>
          <w:bCs/>
        </w:rPr>
        <w:t xml:space="preserve">Ezért a szokásos mezőket (definíció, gazdasági értelmezés, szerep a</w:t>
      </w:r>
      <w:r>
        <w:rPr>
          <w:b/>
          <w:bCs/>
        </w:rPr>
        <w:t xml:space="preserve"> </w:t>
      </w:r>
      <w:r>
        <w:rPr>
          <w:b/>
          <w:bCs/>
        </w:rPr>
        <w:t xml:space="preserve">modellben, kiszámítás módja, szükséges inputok, script, eredmény,</w:t>
      </w:r>
      <w:r>
        <w:rPr>
          <w:b/>
          <w:bCs/>
        </w:rPr>
        <w:t xml:space="preserve"> </w:t>
      </w:r>
      <w:r>
        <w:rPr>
          <w:b/>
          <w:bCs/>
        </w:rPr>
        <w:t xml:space="preserve">megbízhatóság) itt is végigvisszük, de sok helyen</w:t>
      </w:r>
      <w:r>
        <w:rPr>
          <w:b/>
          <w:bCs/>
        </w:rPr>
        <w:t xml:space="preserve"> </w:t>
      </w:r>
      <w:r>
        <w:rPr>
          <w:b/>
          <w:bCs/>
        </w:rPr>
        <w:t xml:space="preserve">“kiszámítás módja”</w:t>
      </w:r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b/>
          <w:bCs/>
        </w:rPr>
        <w:t xml:space="preserve">“nincs saját Opten-számítás”</w:t>
      </w:r>
      <w:r>
        <w:rPr>
          <w:b/>
          <w:bCs/>
        </w:rPr>
        <w:t xml:space="preserve">, és</w:t>
      </w:r>
      <w:r>
        <w:rPr>
          <w:b/>
          <w:bCs/>
        </w:rPr>
        <w:t xml:space="preserve"> </w:t>
      </w:r>
      <w:r>
        <w:rPr>
          <w:b/>
          <w:bCs/>
        </w:rPr>
        <w:t xml:space="preserve">“eredmény”</w:t>
      </w:r>
      <w:r>
        <w:rPr>
          <w:b/>
          <w:bCs/>
        </w:rPr>
        <w:t xml:space="preserve"> </w:t>
      </w:r>
      <w:r>
        <w:rPr>
          <w:b/>
          <w:bCs/>
        </w:rPr>
        <w:t xml:space="preserve">= a jelenleg használt</w:t>
      </w:r>
      <w:r>
        <w:rPr>
          <w:b/>
          <w:bCs/>
        </w:rPr>
        <w:t xml:space="preserve"> </w:t>
      </w:r>
      <w:r>
        <w:rPr>
          <w:b/>
          <w:bCs/>
        </w:rPr>
        <w:t xml:space="preserve">irodalmi/alapértelmezett érték, nem egy most kiszámolt szám.</w:t>
      </w:r>
      <w:r>
        <w:t xml:space="preserve"> </w:t>
      </w:r>
      <w:r>
        <w:t xml:space="preserve">Ahol</w:t>
      </w:r>
      <w:r>
        <w:t xml:space="preserve"> </w:t>
      </w:r>
      <w:r>
        <w:t xml:space="preserve">ténylegesen készült egy feltáró (nem kalibráció-kész) becslés, azt</w:t>
      </w:r>
      <w:r>
        <w:t xml:space="preserve"> </w:t>
      </w:r>
      <w:r>
        <w:t xml:space="preserve">külön jelezzük.</w:t>
      </w:r>
    </w:p>
    <w:p>
      <w:pPr>
        <w:pStyle w:val="BodyText"/>
      </w:pPr>
      <w:r>
        <w:t xml:space="preserve">A tételek a</w:t>
      </w:r>
      <w:r>
        <w:t xml:space="preserve"> </w:t>
      </w:r>
      <w:r>
        <w:rPr>
          <w:rStyle w:val="VerbatimChar"/>
        </w:rPr>
        <w:t xml:space="preserve">.mod</w:t>
      </w:r>
      <w:r>
        <w:t xml:space="preserve">/</w:t>
      </w:r>
      <w:r>
        <w:rPr>
          <w:rStyle w:val="VerbatimChar"/>
        </w:rPr>
        <w:t xml:space="preserve">parameterek_szamolasa.xlsx</w:t>
      </w:r>
      <w:r>
        <w:t xml:space="preserve"> </w:t>
      </w:r>
      <w:r>
        <w:t xml:space="preserve">saját kategóriái szerint</w:t>
      </w:r>
      <w:r>
        <w:t xml:space="preserve"> </w:t>
      </w:r>
      <w:r>
        <w:t xml:space="preserve">vannak csoportosítva: Pénzügyi akcelerátor és hozzáférési csatorna;</w:t>
      </w:r>
      <w:r>
        <w:t xml:space="preserve"> </w:t>
      </w:r>
      <w:r>
        <w:t xml:space="preserve">Prémium-transzmisszió; Vertikális/kereskedelmi lánc; Háztartási,</w:t>
      </w:r>
      <w:r>
        <w:t xml:space="preserve"> </w:t>
      </w:r>
      <w:r>
        <w:t xml:space="preserve">technológiai és tisztán irodalmi horgonyok.</w:t>
      </w:r>
    </w:p>
    <w:p>
      <w:r>
        <w:br w:type="page"/>
      </w:r>
    </w:p>
    <w:bookmarkStart w:id="14" w:name="X09292eb99102f3959e7238f869565cdcfee0fab"/>
    <w:p>
      <w:pPr>
        <w:pStyle w:val="Heading1"/>
      </w:pPr>
      <w:r>
        <w:t xml:space="preserve">I. Pénzügyi akcelerátor és hozzáférési csatorna</w:t>
      </w:r>
    </w:p>
    <w:bookmarkStart w:id="9" w:name="X06b58bdcae5bb2370b7e58db072bbcda7ea93a2"/>
    <w:p>
      <w:pPr>
        <w:pStyle w:val="Heading2"/>
      </w:pPr>
      <w:r>
        <w:t xml:space="preserve">1. omega_nw — nettó vagyon perzisztenciája / vállalkozói túlélés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 vállalkozók (cégtulajdonosok) túlélési aránya egy</w:t>
      </w:r>
      <w:r>
        <w:t xml:space="preserve"> </w:t>
      </w:r>
      <w:r>
        <w:t xml:space="preserve">adott időszakban — azoké, akik nem</w:t>
      </w:r>
      <w:r>
        <w:t xml:space="preserve"> </w:t>
      </w:r>
      <w:r>
        <w:t xml:space="preserve">“esznek fel”</w:t>
      </w:r>
      <w:r>
        <w:t xml:space="preserve"> </w:t>
      </w:r>
      <w:r>
        <w:t xml:space="preserve">mindent osztalékként,</w:t>
      </w:r>
      <w:r>
        <w:t xml:space="preserve"> </w:t>
      </w:r>
      <w:r>
        <w:t xml:space="preserve">hanem tovább viszik a felhalmozott saját tőkét.</w:t>
      </w:r>
    </w:p>
    <w:p>
      <w:pPr>
        <w:pStyle w:val="BodyText"/>
      </w:pPr>
      <w:r>
        <w:rPr>
          <w:b/>
          <w:bCs/>
        </w:rPr>
        <w:t xml:space="preserve">Gazdasági értelmezés.</w:t>
      </w:r>
      <w:r>
        <w:t xml:space="preserve"> </w:t>
      </w:r>
      <w:r>
        <w:t xml:space="preserve">Minél magasabb, annál tovább él egy adott</w:t>
      </w:r>
      <w:r>
        <w:t xml:space="preserve"> </w:t>
      </w:r>
      <w:r>
        <w:t xml:space="preserve">sokk hatása a cég nettó vagyonában — ez a pénzügyi akcelerátor</w:t>
      </w:r>
      <w:r>
        <w:t xml:space="preserve"> </w:t>
      </w:r>
      <w:r>
        <w:t xml:space="preserve">mechanizmus</w:t>
      </w:r>
      <w:r>
        <w:t xml:space="preserve"> </w:t>
      </w:r>
      <w:r>
        <w:t xml:space="preserve">“memóriáját”</w:t>
      </w:r>
      <w:r>
        <w:t xml:space="preserve"> </w:t>
      </w:r>
      <w:r>
        <w:t xml:space="preserve">adja.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nw_j = omega_nw · ( nw_j(−1) + lev_j · ( ret_j − (r(−1) − infl) ) )</w:t>
      </w:r>
    </w:p>
    <w:p>
      <w:pPr>
        <w:pStyle w:val="FirstParagraph"/>
      </w:pPr>
      <w:r>
        <w:rPr>
          <w:b/>
          <w:bCs/>
        </w:rPr>
        <w:t xml:space="preserve">Kiszámítás módja.</w:t>
      </w:r>
      <w:r>
        <w:t xml:space="preserve"> </w:t>
      </w:r>
      <w:r>
        <w:t xml:space="preserve">Nincs saját Opten-számítás — ez egy BGG-eredetű,</w:t>
      </w:r>
      <w:r>
        <w:t xml:space="preserve"> </w:t>
      </w:r>
      <w:r>
        <w:t xml:space="preserve">modell-belső (túlélési valószínűség × bruttó hozam) mennyiség, aminek</w:t>
      </w:r>
      <w:r>
        <w:t xml:space="preserve"> </w:t>
      </w:r>
      <w:r>
        <w:t xml:space="preserve">nincs közvetlen empirikus megfelelője egyetlen külső adatforrásban sem.</w:t>
      </w:r>
      <w:r>
        <w:t xml:space="preserve"> </w:t>
      </w:r>
      <w:r>
        <w:t xml:space="preserve">Célzott keresés (2026-09-22) sem talált magyar vagy nemzetközi</w:t>
      </w:r>
      <w:r>
        <w:t xml:space="preserve"> </w:t>
      </w:r>
      <w:r>
        <w:t xml:space="preserve">tanulmányt, ami ezt önmagában, cégtípusonként becsülné.</w:t>
      </w:r>
    </w:p>
    <w:p>
      <w:pPr>
        <w:pStyle w:val="BodyText"/>
      </w:pPr>
      <w:r>
        <w:rPr>
          <w:b/>
          <w:bCs/>
        </w:rPr>
        <w:t xml:space="preserve">Szükséges inputok / script.</w:t>
      </w:r>
      <w:r>
        <w:t xml:space="preserve"> </w:t>
      </w:r>
      <w:r>
        <w:t xml:space="preserve">Nincs.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rPr>
          <w:rStyle w:val="VerbatimChar"/>
        </w:rPr>
        <w:t xml:space="preserve">0,95</w:t>
      </w:r>
      <w:r>
        <w:t xml:space="preserve"> </w:t>
      </w:r>
      <w:r>
        <w:t xml:space="preserve">— a JV(2008/9) és BGG(1999) irodalmi sávjának</w:t>
      </w:r>
      <w:r>
        <w:t xml:space="preserve"> </w:t>
      </w:r>
      <w:r>
        <w:t xml:space="preserve">(0,95–0,9728) alsó határa, jelenlegi állapotban marad.</w:t>
      </w:r>
    </w:p>
    <w:p>
      <w:pPr>
        <w:pStyle w:val="BodyText"/>
      </w:pPr>
      <w:r>
        <w:rPr>
          <w:b/>
          <w:bCs/>
        </w:rPr>
        <w:t xml:space="preserve">Megbízhatóság: KÖZEPES (irodalmi horgony, nem megkérdőjelezett).</w:t>
      </w:r>
      <w:r>
        <w:t xml:space="preserve"> </w:t>
      </w:r>
      <w:r>
        <w:t xml:space="preserve">A</w:t>
      </w:r>
      <w:r>
        <w:t xml:space="preserve"> </w:t>
      </w:r>
      <w:r>
        <w:t xml:space="preserve">0,95 konzervatív, védhető választás egy jól ismert sávon belül — nincs</w:t>
      </w:r>
      <w:r>
        <w:t xml:space="preserve"> </w:t>
      </w:r>
      <w:r>
        <w:t xml:space="preserve">új adat, ami módosítást indokolna.</w:t>
      </w:r>
    </w:p>
    <w:p>
      <w:r>
        <w:pict>
          <v:rect style="width:0;height:1.5pt" o:hralign="center" o:hrstd="t" o:hr="t"/>
        </w:pict>
      </w:r>
    </w:p>
    <w:bookmarkEnd w:id="9"/>
    <w:bookmarkStart w:id="10" w:name="X42dbee9eea2fe44e004d48336ee0249e89f2049"/>
    <w:p>
      <w:pPr>
        <w:pStyle w:val="Heading2"/>
      </w:pPr>
      <w:r>
        <w:t xml:space="preserve">2. chi_E, chi_D, chi_L — az EFP tőkeáttétel-rugalmassága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Ha egy cégtípus eladósodottsága (eszközérték/saját tőke)</w:t>
      </w:r>
      <w:r>
        <w:t xml:space="preserve"> </w:t>
      </w:r>
      <w:r>
        <w:t xml:space="preserve">1%-kal nő, a hitelén fizetett felár (external finance premium, EFP)</w:t>
      </w:r>
      <w:r>
        <w:t xml:space="preserve"> </w:t>
      </w:r>
      <w:r>
        <w:t xml:space="preserve">hány százalékponttal emelkedik.</w:t>
      </w:r>
    </w:p>
    <w:p>
      <w:pPr>
        <w:pStyle w:val="BodyText"/>
      </w:pPr>
      <w:r>
        <w:rPr>
          <w:b/>
          <w:bCs/>
        </w:rPr>
        <w:t xml:space="preserve">Gazdasági értelmezés.</w:t>
      </w:r>
      <w:r>
        <w:t xml:space="preserve"> </w:t>
      </w:r>
      <w:r>
        <w:t xml:space="preserve">Ez teszi a modellt öngerjesztővé: rossz</w:t>
      </w:r>
      <w:r>
        <w:t xml:space="preserve"> </w:t>
      </w:r>
      <w:r>
        <w:t xml:space="preserve">időkben csökken a saját tőke, nő a felár, ami tovább rontja a</w:t>
      </w:r>
      <w:r>
        <w:t xml:space="preserve"> </w:t>
      </w:r>
      <w:r>
        <w:t xml:space="preserve">helyzetet. A jelenlegi (eredeti) feltevés szerint a KKV-k (</w:t>
      </w:r>
      <w:r>
        <w:rPr>
          <w:rStyle w:val="VerbatimChar"/>
        </w:rPr>
        <w:t xml:space="preserve">chi_E=chi_D =0,06</w:t>
      </w:r>
      <w:r>
        <w:t xml:space="preserve">) háromszor érzékenyebbek, mint a nagyvállalat (</w:t>
      </w:r>
      <w:r>
        <w:rPr>
          <w:rStyle w:val="VerbatimChar"/>
        </w:rPr>
        <w:t xml:space="preserve">chi_L=0,02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efp_j = chi_j·(q_j + k_j − nw_j) + tsov_j·sov + tbank_j·bank</w:t>
      </w:r>
    </w:p>
    <w:p>
      <w:pPr>
        <w:pStyle w:val="FirstParagraph"/>
      </w:pPr>
      <w:r>
        <w:rPr>
          <w:b/>
          <w:bCs/>
        </w:rPr>
        <w:t xml:space="preserve">Kiszámítás módja / becslési kísérlet.</w:t>
      </w:r>
      <w:r>
        <w:t xml:space="preserve"> </w:t>
      </w:r>
      <w:r>
        <w:t xml:space="preserve">Egy korábbi Opten-alapú</w:t>
      </w:r>
      <w:r>
        <w:t xml:space="preserve"> </w:t>
      </w:r>
      <w:r>
        <w:t xml:space="preserve">azonosítási kísérlet (implicit spread-proxy a tőkeáttétel függvényében)</w:t>
      </w:r>
      <w:r>
        <w:t xml:space="preserve"> </w:t>
      </w:r>
      <w:r>
        <w:rPr>
          <w:b/>
          <w:bCs/>
        </w:rPr>
        <w:t xml:space="preserve">endogenitás miatt instabilnak bizonyult</w:t>
      </w:r>
      <w:r>
        <w:t xml:space="preserve"> </w:t>
      </w:r>
      <w:r>
        <w:t xml:space="preserve">— egy rossz állapotú cég</w:t>
      </w:r>
      <w:r>
        <w:t xml:space="preserve"> </w:t>
      </w:r>
      <w:r>
        <w:t xml:space="preserve">egyszerre eladósodottabb ÉS kockázatosabb, ezért a puszta</w:t>
      </w:r>
      <w:r>
        <w:t xml:space="preserve"> </w:t>
      </w:r>
      <w:r>
        <w:t xml:space="preserve">kereszttábla-korreláció nem azonosítja az ok-okozati irányt. Célzott</w:t>
      </w:r>
      <w:r>
        <w:t xml:space="preserve"> </w:t>
      </w:r>
      <w:r>
        <w:t xml:space="preserve">szakirodalom-keresés (2026-09-22) sem talált frissebb, cégtípus szerint</w:t>
      </w:r>
      <w:r>
        <w:t xml:space="preserve"> </w:t>
      </w:r>
      <w:r>
        <w:t xml:space="preserve">differenciált</w:t>
      </w:r>
      <w:r>
        <w:t xml:space="preserve"> </w:t>
      </w:r>
      <w:r>
        <w:rPr>
          <w:rStyle w:val="VerbatimChar"/>
        </w:rPr>
        <w:t xml:space="preserve">chi</w:t>
      </w:r>
      <w:r>
        <w:t xml:space="preserve">-számot — csak azt erősítette meg, hogy az IRÁNY</w:t>
      </w:r>
      <w:r>
        <w:t xml:space="preserve"> </w:t>
      </w:r>
      <w:r>
        <w:t xml:space="preserve">(kisebb cég = érzékenyebb) helyes, konkrét szám nélkül.</w:t>
      </w:r>
    </w:p>
    <w:p>
      <w:pPr>
        <w:pStyle w:val="BodyText"/>
      </w:pPr>
      <w:r>
        <w:rPr>
          <w:b/>
          <w:bCs/>
        </w:rPr>
        <w:t xml:space="preserve">Szükséges inputok / script.</w:t>
      </w:r>
      <w:r>
        <w:t xml:space="preserve"> </w:t>
      </w:r>
      <w:r>
        <w:t xml:space="preserve">A jelenleg elérhető Opten cégszintű</w:t>
      </w:r>
      <w:r>
        <w:t xml:space="preserve"> </w:t>
      </w:r>
      <w:r>
        <w:t xml:space="preserve">panel</w:t>
      </w:r>
      <w:r>
        <w:t xml:space="preserve"> </w:t>
      </w:r>
      <w:r>
        <w:rPr>
          <w:b/>
          <w:bCs/>
        </w:rPr>
        <w:t xml:space="preserve">nem elég</w:t>
      </w:r>
      <w:r>
        <w:t xml:space="preserve"> </w:t>
      </w:r>
      <w:r>
        <w:t xml:space="preserve">— a rendes azonosításhoz</w:t>
      </w:r>
      <w:r>
        <w:t xml:space="preserve"> </w:t>
      </w:r>
      <w:r>
        <w:rPr>
          <w:b/>
          <w:bCs/>
        </w:rPr>
        <w:t xml:space="preserve">hitel-szintű (bank×cég×idő)</w:t>
      </w:r>
      <w:r>
        <w:rPr>
          <w:b/>
          <w:bCs/>
        </w:rPr>
        <w:t xml:space="preserve"> </w:t>
      </w:r>
      <w:r>
        <w:rPr>
          <w:b/>
          <w:bCs/>
        </w:rPr>
        <w:t xml:space="preserve">adat és egy hitelkínálati sokk</w:t>
      </w:r>
      <w:r>
        <w:t xml:space="preserve"> </w:t>
      </w:r>
      <w:r>
        <w:t xml:space="preserve">kellene (Khwaja–Mian-stílusú</w:t>
      </w:r>
      <w:r>
        <w:t xml:space="preserve"> </w:t>
      </w:r>
      <w:r>
        <w:t xml:space="preserve">identifikáció: egy cég egyszerre több banktól hitelez, egy</w:t>
      </w:r>
      <w:r>
        <w:t xml:space="preserve"> </w:t>
      </w:r>
      <w:r>
        <w:t xml:space="preserve">bank-specifikus sokk mozgatja a kínálatot anélkül, hogy a cég saját</w:t>
      </w:r>
      <w:r>
        <w:t xml:space="preserve"> </w:t>
      </w:r>
      <w:r>
        <w:t xml:space="preserve">kockázatát változtatná). Ez az</w:t>
      </w:r>
      <w:r>
        <w:t xml:space="preserve"> </w:t>
      </w:r>
      <w:r>
        <w:rPr>
          <w:b/>
          <w:bCs/>
        </w:rPr>
        <w:t xml:space="preserve">MNB felügyeleti hitelregiszterét</w:t>
      </w:r>
      <w:r>
        <w:t xml:space="preserve"> </w:t>
      </w:r>
      <w:r>
        <w:t xml:space="preserve">igényelné, ami nem publikus.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t xml:space="preserve">Javaslat:</w:t>
      </w:r>
      <w:r>
        <w:t xml:space="preserve"> </w:t>
      </w:r>
      <w:r>
        <w:rPr>
          <w:rStyle w:val="VerbatimChar"/>
        </w:rPr>
        <w:t xml:space="preserve">chi_E=chi_D=chi_L=0,04</w:t>
      </w:r>
      <w:r>
        <w:t xml:space="preserve"> </w:t>
      </w:r>
      <w:r>
        <w:t xml:space="preserve">(a 0,01–0,06-os</w:t>
      </w:r>
      <w:r>
        <w:t xml:space="preserve"> </w:t>
      </w:r>
      <w:r>
        <w:t xml:space="preserve">nemzetközi irodalmi sáv gyakorlati konszenzus-horgonya) —</w:t>
      </w:r>
      <w:r>
        <w:t xml:space="preserve"> </w:t>
      </w:r>
      <w:r>
        <w:rPr>
          <w:b/>
          <w:bCs/>
        </w:rPr>
        <w:t xml:space="preserve">csapatdöntés</w:t>
      </w:r>
      <w:r>
        <w:rPr>
          <w:b/>
          <w:bCs/>
        </w:rPr>
        <w:t xml:space="preserve"> </w:t>
      </w:r>
      <w:r>
        <w:rPr>
          <w:b/>
          <w:bCs/>
        </w:rPr>
        <w:t xml:space="preserve">kell</w:t>
      </w:r>
      <w:r>
        <w:t xml:space="preserve">, mert az eredeti aszimmetrikus feltevés (</w:t>
      </w:r>
      <w:r>
        <w:rPr>
          <w:rStyle w:val="VerbatimChar"/>
        </w:rPr>
        <w:t xml:space="preserve">0,06/0,06/0,02</w:t>
      </w:r>
      <w:r>
        <w:t xml:space="preserve">) forrás</w:t>
      </w:r>
      <w:r>
        <w:t xml:space="preserve"> </w:t>
      </w:r>
      <w:r>
        <w:t xml:space="preserve">nélküli volt, de az irodalom az irányt (KKV érzékenyebb) megerősíti,</w:t>
      </w:r>
      <w:r>
        <w:t xml:space="preserve"> </w:t>
      </w:r>
      <w:r>
        <w:t xml:space="preserve">csak számot nem ad.</w:t>
      </w:r>
    </w:p>
    <w:p>
      <w:pPr>
        <w:pStyle w:val="BodyText"/>
      </w:pPr>
      <w:r>
        <w:rPr>
          <w:b/>
          <w:bCs/>
        </w:rPr>
        <w:t xml:space="preserve">Megbízhatóság: ALACSONY / NYITOTT.</w:t>
      </w:r>
      <w:r>
        <w:t xml:space="preserve"> </w:t>
      </w:r>
      <w:r>
        <w:t xml:space="preserve">A probléma adattípus-szintű, nem</w:t>
      </w:r>
      <w:r>
        <w:t xml:space="preserve"> </w:t>
      </w:r>
      <w:r>
        <w:t xml:space="preserve">Opten-specifikus — új Opten-kísérlettel nem oldható meg. Csak MNB</w:t>
      </w:r>
      <w:r>
        <w:t xml:space="preserve"> </w:t>
      </w:r>
      <w:r>
        <w:t xml:space="preserve">hitelregiszter-hozzáféréssel javítható rendesen.</w:t>
      </w:r>
    </w:p>
    <w:p>
      <w:r>
        <w:pict>
          <v:rect style="width:0;height:1.5pt" o:hralign="center" o:hrstd="t" o:hr="t"/>
        </w:pict>
      </w:r>
    </w:p>
    <w:bookmarkEnd w:id="10"/>
    <w:bookmarkStart w:id="11" w:name="X32d5825c2b48f18fe6c6a2f3560648e20fa695b"/>
    <w:p>
      <w:pPr>
        <w:pStyle w:val="Heading2"/>
      </w:pPr>
      <w:r>
        <w:t xml:space="preserve">3. lambda_acc_E, lambda_acc_D — hitelhozzáférés-javulás (extenzív margó)</w:t>
      </w:r>
    </w:p>
    <w:bookmarkEnd w:id="11"/>
    <w:bookmarkStart w:id="12" w:name="Xa4aa6dc40ee24398933856a583af5c0c854eea0"/>
    <w:p>
      <w:pPr>
        <w:pStyle w:val="Heading2"/>
      </w:pPr>
      <w:r>
        <w:t xml:space="preserve">4. omega_acc_E, omega_acc_D — a hozzáférés beruházási hatása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rPr>
          <w:rStyle w:val="VerbatimChar"/>
        </w:rPr>
        <w:t xml:space="preserve">lambda_acc_j</w:t>
      </w:r>
      <w:r>
        <w:t xml:space="preserve">: mennyivel javul a cégtípus hitelhez</w:t>
      </w:r>
      <w:r>
        <w:t xml:space="preserve"> </w:t>
      </w:r>
      <w:r>
        <w:t xml:space="preserve">jutása, ha csökken a hitelfelár (extenzív margó — hányan kerülnek be a</w:t>
      </w:r>
      <w:r>
        <w:t xml:space="preserve"> </w:t>
      </w:r>
      <w:r>
        <w:t xml:space="preserve">hitelezésbe).</w:t>
      </w:r>
      <w:r>
        <w:t xml:space="preserve"> </w:t>
      </w:r>
      <w:r>
        <w:rPr>
          <w:rStyle w:val="VerbatimChar"/>
        </w:rPr>
        <w:t xml:space="preserve">omega_acc_j</w:t>
      </w:r>
      <w:r>
        <w:t xml:space="preserve">: a javuló hozzáférés mekkora többletberuházást</w:t>
      </w:r>
      <w:r>
        <w:t xml:space="preserve"> </w:t>
      </w:r>
      <w:r>
        <w:t xml:space="preserve">enged be. A nagyvállalatnak nincs</w:t>
      </w:r>
      <w:r>
        <w:t xml:space="preserve"> </w:t>
      </w:r>
      <w:r>
        <w:rPr>
          <w:rStyle w:val="VerbatimChar"/>
        </w:rPr>
        <w:t xml:space="preserve">omega_acc</w:t>
      </w:r>
      <w:r>
        <w:t xml:space="preserve"> </w:t>
      </w:r>
      <w:r>
        <w:t xml:space="preserve">paramétere — a modell</w:t>
      </w:r>
      <w:r>
        <w:t xml:space="preserve"> </w:t>
      </w:r>
      <w:r>
        <w:t xml:space="preserve">szerint neki mindig van hitele.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acc_j = rho_acc·acc_j(−1) − lambda_acc_j·efp_j</w:t>
      </w:r>
      <w:r>
        <w:t xml:space="preserve"> </w:t>
      </w:r>
      <w:r>
        <w:rPr>
          <w:i/>
          <w:iCs/>
        </w:rPr>
        <w:t xml:space="preserve">i_j = … + omega_acc_j·acc_j + e_i_ar</w:t>
      </w:r>
    </w:p>
    <w:p>
      <w:pPr>
        <w:pStyle w:val="FirstParagraph"/>
      </w:pPr>
      <w:r>
        <w:rPr>
          <w:b/>
          <w:bCs/>
        </w:rPr>
        <w:t xml:space="preserve">Kiszámítás módja / becslési kísérlet.</w:t>
      </w:r>
      <w:r>
        <w:t xml:space="preserve"> </w:t>
      </w:r>
      <w:r>
        <w:t xml:space="preserve">Ez volt eddig a leggyengébb</w:t>
      </w:r>
      <w:r>
        <w:t xml:space="preserve"> </w:t>
      </w:r>
      <w:r>
        <w:t xml:space="preserve">lábon álló két tétel (</w:t>
      </w:r>
      <w:r>
        <w:rPr>
          <w:rStyle w:val="VerbatimChar"/>
        </w:rPr>
        <w:t xml:space="preserve">lambda_acc_E</w:t>
      </w:r>
      <w:r>
        <w:t xml:space="preserve">: puszta</w:t>
      </w:r>
      <w:r>
        <w:t xml:space="preserve"> </w:t>
      </w:r>
      <w:r>
        <w:t xml:space="preserve">“1,5 (Samu)”</w:t>
      </w:r>
      <w:r>
        <w:t xml:space="preserve"> </w:t>
      </w:r>
      <w:r>
        <w:t xml:space="preserve">becslés;</w:t>
      </w:r>
      <w:r>
        <w:t xml:space="preserve"> </w:t>
      </w:r>
      <w:r>
        <w:rPr>
          <w:rStyle w:val="VerbatimChar"/>
        </w:rPr>
        <w:t xml:space="preserve">omega_acc_E/D</w:t>
      </w:r>
      <w:r>
        <w:t xml:space="preserve">: kifejtetlen</w:t>
      </w:r>
      <w:r>
        <w:t xml:space="preserve"> </w:t>
      </w:r>
      <w:r>
        <w:t xml:space="preserve">“Bene opten adat javaslat”</w:t>
      </w:r>
      <w:r>
        <w:t xml:space="preserve">). Szakirodalom-</w:t>
      </w:r>
      <w:r>
        <w:t xml:space="preserve"> </w:t>
      </w:r>
      <w:r>
        <w:t xml:space="preserve">keresés (2026-09-22) egy</w:t>
      </w:r>
      <w:r>
        <w:t xml:space="preserve"> </w:t>
      </w:r>
      <w:r>
        <w:rPr>
          <w:b/>
          <w:bCs/>
        </w:rPr>
        <w:t xml:space="preserve">pontosan idevágó, kész magyar</w:t>
      </w:r>
      <w:r>
        <w:rPr>
          <w:b/>
          <w:bCs/>
        </w:rPr>
        <w:t xml:space="preserve"> </w:t>
      </w:r>
      <w:r>
        <w:rPr>
          <w:b/>
          <w:bCs/>
        </w:rPr>
        <w:t xml:space="preserve">ok-okozati tanulmányt</w:t>
      </w:r>
      <w:r>
        <w:t xml:space="preserve"> </w:t>
      </w:r>
      <w:r>
        <w:t xml:space="preserve">talált:</w:t>
      </w:r>
    </w:p>
    <w:p>
      <w:pPr>
        <w:pStyle w:val="BodyText"/>
      </w:pPr>
      <w:r>
        <w:rPr>
          <w:b/>
          <w:bCs/>
        </w:rPr>
        <w:t xml:space="preserve">Endrész, M. – Harasztosi, P. – Lieli, R. P. (2015):</w:t>
      </w:r>
      <w:r>
        <w:rPr>
          <w:b/>
          <w:bCs/>
        </w:rPr>
        <w:t xml:space="preserve"> </w:t>
      </w:r>
      <w:r>
        <w:rPr>
          <w:b/>
          <w:bCs/>
        </w:rPr>
        <w:t xml:space="preserve">“The Impact of</w:t>
      </w:r>
      <w:r>
        <w:rPr>
          <w:b/>
          <w:bCs/>
        </w:rPr>
        <w:t xml:space="preserve"> </w:t>
      </w:r>
      <w:r>
        <w:rPr>
          <w:b/>
          <w:bCs/>
        </w:rPr>
        <w:t xml:space="preserve">the Magyar Nemzeti Bank’s Funding for Growth Scheme on Firm Level</w:t>
      </w:r>
      <w:r>
        <w:rPr>
          <w:b/>
          <w:bCs/>
        </w:rPr>
        <w:t xml:space="preserve"> </w:t>
      </w:r>
      <w:r>
        <w:rPr>
          <w:b/>
          <w:bCs/>
        </w:rPr>
        <w:t xml:space="preserve">Investment.”</w:t>
      </w:r>
      <w:r>
        <w:rPr>
          <w:b/>
          <w:bCs/>
        </w:rPr>
        <w:t xml:space="preserve"> </w:t>
      </w:r>
      <w:r>
        <w:rPr>
          <w:b/>
          <w:bCs/>
        </w:rPr>
        <w:t xml:space="preserve">MNB Working Papers 2015/2.</w:t>
      </w:r>
      <w:r>
        <w:t xml:space="preserve"> </w:t>
      </w:r>
      <w:r>
        <w:t xml:space="preserve">A Növekedési Hitelprogram</w:t>
      </w:r>
      <w:r>
        <w:t xml:space="preserve"> </w:t>
      </w:r>
      <w:r>
        <w:t xml:space="preserve">(NHP) 2013-as fázisának hatását becsli propensity-score matching + DID</w:t>
      </w:r>
      <w:r>
        <w:t xml:space="preserve"> </w:t>
      </w:r>
      <w:r>
        <w:t xml:space="preserve">módszerrel — pontosan azt a mechanizmust azonosítva, amit</w:t>
      </w:r>
      <w:r>
        <w:t xml:space="preserve"> </w:t>
      </w:r>
      <w:r>
        <w:rPr>
          <w:rStyle w:val="VerbatimChar"/>
        </w:rPr>
        <w:t xml:space="preserve">lambda_acc_j</w:t>
      </w:r>
      <w:r>
        <w:t xml:space="preserve">/</w:t>
      </w:r>
      <w:r>
        <w:t xml:space="preserve"> </w:t>
      </w:r>
      <w:r>
        <w:rPr>
          <w:rStyle w:val="VerbatimChar"/>
        </w:rPr>
        <w:t xml:space="preserve">omega_acc_j</w:t>
      </w:r>
      <w:r>
        <w:t xml:space="preserve"> </w:t>
      </w:r>
      <w:r>
        <w:t xml:space="preserve">megpróbál megragadni.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Mérethategória</w:t>
            </w:r>
          </w:p>
        </w:tc>
        <w:tc>
          <w:tcPr/>
          <w:p>
            <w:pPr>
              <w:pStyle w:val="Compact"/>
            </w:pPr>
            <w:r>
              <w:t xml:space="preserve">Beruházási ráta hatás (pp)</w:t>
            </w:r>
          </w:p>
        </w:tc>
        <w:tc>
          <w:tcPr/>
          <w:p>
            <w:pPr>
              <w:pStyle w:val="Compact"/>
            </w:pPr>
            <w:r>
              <w:t xml:space="preserve">Program-eredetű beruházás aránya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Mikró (1–9 fő)</w:t>
            </w:r>
          </w:p>
        </w:tc>
        <w:tc>
          <w:tcPr/>
          <w:p>
            <w:pPr>
              <w:pStyle w:val="Compact"/>
            </w:pPr>
            <w:r>
              <w:t xml:space="preserve">+17 pp</w:t>
            </w:r>
          </w:p>
        </w:tc>
        <w:tc>
          <w:tcPr/>
          <w:p>
            <w:pPr>
              <w:pStyle w:val="Compact"/>
            </w:pPr>
            <w:r>
              <w:t xml:space="preserve">60–63%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Kis (10–49 fő)</w:t>
            </w:r>
          </w:p>
        </w:tc>
        <w:tc>
          <w:tcPr/>
          <w:p>
            <w:pPr>
              <w:pStyle w:val="Compact"/>
            </w:pPr>
            <w:r>
              <w:t xml:space="preserve">+6 pp</w:t>
            </w:r>
          </w:p>
        </w:tc>
        <w:tc>
          <w:tcPr/>
          <w:p>
            <w:pPr>
              <w:pStyle w:val="Compact"/>
            </w:pPr>
            <w:r>
              <w:t xml:space="preserve">25–28%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Alsó-közép (50–149 fő)</w:t>
            </w:r>
          </w:p>
        </w:tc>
        <w:tc>
          <w:tcPr/>
          <w:p>
            <w:pPr>
              <w:pStyle w:val="Compact"/>
            </w:pPr>
            <w:r>
              <w:t xml:space="preserve">+4 pp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Felső-közép (150–249 fő)</w:t>
            </w:r>
          </w:p>
        </w:tc>
        <w:tc>
          <w:tcPr/>
          <w:p>
            <w:pPr>
              <w:pStyle w:val="Compact"/>
            </w:pPr>
            <w:r>
              <w:t xml:space="preserve">+1 pp</w:t>
            </w:r>
          </w:p>
        </w:tc>
        <w:tc>
          <w:tcPr/>
          <w:p>
            <w:pPr>
              <w:pStyle w:val="Compact"/>
            </w:pPr>
            <w:r>
              <w:t xml:space="preserve">gyakorlatilag 0</w:t>
            </w:r>
          </w:p>
        </w:tc>
      </w:tr>
    </w:tbl>
    <w:p>
      <w:pPr>
        <w:pStyle w:val="BodyText"/>
      </w:pPr>
      <w:r>
        <w:t xml:space="preserve">Éles, monoton méret szerinti csökkenés — ez erősen alátámasztja, hogy</w:t>
      </w:r>
      <w:r>
        <w:t xml:space="preserve"> </w:t>
      </w:r>
      <w:r>
        <w:rPr>
          <w:rStyle w:val="VerbatimChar"/>
        </w:rPr>
        <w:t xml:space="preserve">omega_acc_E</w:t>
      </w:r>
      <w:r>
        <w:t xml:space="preserve">/</w:t>
      </w:r>
      <w:r>
        <w:rPr>
          <w:rStyle w:val="VerbatimChar"/>
        </w:rPr>
        <w:t xml:space="preserve">omega_acc_D</w:t>
      </w:r>
      <w:r>
        <w:t xml:space="preserve"> </w:t>
      </w:r>
      <w:r>
        <w:t xml:space="preserve">mindkettő jelentősen nagyobb kell legyen,</w:t>
      </w:r>
      <w:r>
        <w:t xml:space="preserve"> </w:t>
      </w:r>
      <w:r>
        <w:t xml:space="preserve">mint bármi, amit egy nagyvállalatra alkalmaznánk (a legnagyobb</w:t>
      </w:r>
      <w:r>
        <w:t xml:space="preserve"> </w:t>
      </w:r>
      <w:r>
        <w:t xml:space="preserve">méretkategóriában a hatás gyakorlatilag eltűnik — ez alátámasztja, hogy</w:t>
      </w:r>
      <w:r>
        <w:t xml:space="preserve"> </w:t>
      </w:r>
      <w:r>
        <w:t xml:space="preserve">a nagyvállalatnak nincs is</w:t>
      </w:r>
      <w:r>
        <w:t xml:space="preserve"> </w:t>
      </w:r>
      <w:r>
        <w:rPr>
          <w:rStyle w:val="VerbatimChar"/>
        </w:rPr>
        <w:t xml:space="preserve">omega_acc</w:t>
      </w:r>
      <w:r>
        <w:t xml:space="preserve">-ja).</w:t>
      </w:r>
    </w:p>
    <w:p>
      <w:pPr>
        <w:pStyle w:val="BodyText"/>
      </w:pPr>
      <w:r>
        <w:rPr>
          <w:b/>
          <w:bCs/>
        </w:rPr>
        <w:t xml:space="preserve">Korlátok.</w:t>
      </w:r>
      <w:r>
        <w:t xml:space="preserve"> </w:t>
      </w:r>
      <w:r>
        <w:t xml:space="preserve">(1) A tanulmány MÉRET szerint bont, nem export-orientáció</w:t>
      </w:r>
      <w:r>
        <w:t xml:space="preserve"> </w:t>
      </w:r>
      <w:r>
        <w:t xml:space="preserve">szerint — közvetlenül nem adja meg</w:t>
      </w:r>
      <w:r>
        <w:t xml:space="preserve"> </w:t>
      </w:r>
      <w:r>
        <w:rPr>
          <w:rStyle w:val="VerbatimChar"/>
        </w:rPr>
        <w:t xml:space="preserve">lambda_acc_E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lambda_acc_D</w:t>
      </w:r>
      <w:r>
        <w:t xml:space="preserve"> </w:t>
      </w:r>
      <w:r>
        <w:t xml:space="preserve">különbséget. (2) Egy konkrét, támogatott program (2,5%-os kamatplafon)</w:t>
      </w:r>
      <w:r>
        <w:t xml:space="preserve"> </w:t>
      </w:r>
      <w:r>
        <w:t xml:space="preserve">hatása, nem az általános</w:t>
      </w:r>
      <w:r>
        <w:t xml:space="preserve"> </w:t>
      </w:r>
      <w:r>
        <w:t xml:space="preserve">“piaci hitelfelár csökken”</w:t>
      </w:r>
      <w:r>
        <w:t xml:space="preserve"> </w:t>
      </w:r>
      <w:r>
        <w:t xml:space="preserve">mechanizmus. (3)</w:t>
      </w:r>
      <w:r>
        <w:t xml:space="preserve"> </w:t>
      </w:r>
      <w:r>
        <w:t xml:space="preserve">2013-as egyszeri esemény, általánosíthatósága bizonytalan.</w:t>
      </w:r>
    </w:p>
    <w:p>
      <w:pPr>
        <w:pStyle w:val="BodyText"/>
      </w:pPr>
      <w:r>
        <w:rPr>
          <w:b/>
          <w:bCs/>
        </w:rPr>
        <w:t xml:space="preserve">Szükséges inputok / script.</w:t>
      </w:r>
      <w:r>
        <w:t xml:space="preserve"> </w:t>
      </w:r>
      <w:r>
        <w:t xml:space="preserve">Nincs saját számítás. A méret→export-</w:t>
      </w:r>
      <w:r>
        <w:t xml:space="preserve"> </w:t>
      </w:r>
      <w:r>
        <w:t xml:space="preserve">orientáció szétbontáshoz két út: (a) kapcsolatfelvétel a szerzőkkel,</w:t>
      </w:r>
      <w:r>
        <w:t xml:space="preserve"> </w:t>
      </w:r>
      <w:r>
        <w:t xml:space="preserve">van-e export-bontású melléklet; (b) az NHP-résztvevői cégek listájának</w:t>
      </w:r>
      <w:r>
        <w:t xml:space="preserve"> </w:t>
      </w:r>
      <w:r>
        <w:t xml:space="preserve">(ha hozzáférhető) Opten-nel való összekapcsolása adószám/Opten-azonosító</w:t>
      </w:r>
      <w:r>
        <w:t xml:space="preserve"> </w:t>
      </w:r>
      <w:r>
        <w:t xml:space="preserve">alapján, hogy a saját E/D szegmentációnkkal újra lehessen futtatni a</w:t>
      </w:r>
      <w:r>
        <w:t xml:space="preserve"> </w:t>
      </w:r>
      <w:r>
        <w:t xml:space="preserve">hatásbecslést.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t xml:space="preserve">Javaslat: a kis/közepes sávok +4–+6 pp-os hatását</w:t>
      </w:r>
      <w:r>
        <w:t xml:space="preserve"> </w:t>
      </w:r>
      <w:r>
        <w:t xml:space="preserve">kiindulópontként használni mindkét (</w:t>
      </w:r>
      <w:r>
        <w:rPr>
          <w:rStyle w:val="VerbatimChar"/>
        </w:rPr>
        <w:t xml:space="preserve">lambda_acc_E</w:t>
      </w:r>
      <w:r>
        <w:t xml:space="preserve">,</w:t>
      </w:r>
      <w:r>
        <w:t xml:space="preserve"> </w:t>
      </w:r>
      <w:r>
        <w:rPr>
          <w:rStyle w:val="VerbatimChar"/>
        </w:rPr>
        <w:t xml:space="preserve">lambda_acc_D</w:t>
      </w:r>
      <w:r>
        <w:t xml:space="preserve">)</w:t>
      </w:r>
      <w:r>
        <w:t xml:space="preserve"> </w:t>
      </w:r>
      <w:r>
        <w:t xml:space="preserve">paraméterre, amíg nincs export-bontás — a jelenlegi</w:t>
      </w:r>
      <w:r>
        <w:t xml:space="preserve"> </w:t>
      </w:r>
      <w:r>
        <w:t xml:space="preserve">“1,5 (Samu)”</w:t>
      </w:r>
      <w:r>
        <w:t xml:space="preserve">/</w:t>
      </w:r>
      <w:r>
        <w:t xml:space="preserve">“Bene</w:t>
      </w:r>
      <w:r>
        <w:t xml:space="preserve"> </w:t>
      </w:r>
      <w:r>
        <w:t xml:space="preserve">opten adat javaslat”</w:t>
      </w:r>
      <w:r>
        <w:t xml:space="preserve"> </w:t>
      </w:r>
      <w:r>
        <w:t xml:space="preserve">helyett legalább egy hivatkozható, publikált forrás.</w:t>
      </w:r>
    </w:p>
    <w:p>
      <w:pPr>
        <w:pStyle w:val="BodyText"/>
      </w:pPr>
      <w:r>
        <w:rPr>
          <w:b/>
          <w:bCs/>
        </w:rPr>
        <w:t xml:space="preserve">Megbízhatóság: KÖZEPES (irány jó, szint bizonytalan).</w:t>
      </w:r>
      <w:r>
        <w:t xml:space="preserve"> </w:t>
      </w:r>
      <w:r>
        <w:t xml:space="preserve">Emellett egy</w:t>
      </w:r>
      <w:r>
        <w:t xml:space="preserve"> </w:t>
      </w:r>
      <w:r>
        <w:t xml:space="preserve">strukturális azonosítási korlát is fennáll: a</w:t>
      </w:r>
      <w:r>
        <w:t xml:space="preserve"> </w:t>
      </w:r>
      <w:r>
        <w:rPr>
          <w:rStyle w:val="VerbatimChar"/>
        </w:rPr>
        <w:t xml:space="preserve">.mod</w:t>
      </w:r>
      <w:r>
        <w:t xml:space="preserve"> </w:t>
      </w:r>
      <w:r>
        <w:t xml:space="preserve">egyenletei szerint</w:t>
      </w:r>
      <w:r>
        <w:t xml:space="preserve"> </w:t>
      </w:r>
      <w:r>
        <w:rPr>
          <w:rStyle w:val="VerbatimChar"/>
        </w:rPr>
        <w:t xml:space="preserve">lambda_acc_j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omega_acc_j</w:t>
      </w:r>
      <w:r>
        <w:t xml:space="preserve"> </w:t>
      </w:r>
      <w:r>
        <w:rPr>
          <w:b/>
          <w:bCs/>
        </w:rPr>
        <w:t xml:space="preserve">külön-külön NEM azonosítottak</w:t>
      </w:r>
      <w:r>
        <w:t xml:space="preserve"> </w:t>
      </w:r>
      <w:r>
        <w:t xml:space="preserve">— a</w:t>
      </w:r>
      <w:r>
        <w:t xml:space="preserve"> </w:t>
      </w:r>
      <w:r>
        <w:t xml:space="preserve">látens</w:t>
      </w:r>
      <w:r>
        <w:t xml:space="preserve"> </w:t>
      </w:r>
      <w:r>
        <w:rPr>
          <w:rStyle w:val="VerbatimChar"/>
        </w:rPr>
        <w:t xml:space="preserve">acc_j</w:t>
      </w:r>
      <w:r>
        <w:t xml:space="preserve"> </w:t>
      </w:r>
      <w:r>
        <w:t xml:space="preserve">állapotváltozó tetszőlegesen átskálázható (ha</w:t>
      </w:r>
      <w:r>
        <w:t xml:space="preserve"> </w:t>
      </w:r>
      <w:r>
        <w:rPr>
          <w:rStyle w:val="VerbatimChar"/>
        </w:rPr>
        <w:t xml:space="preserve">acc_j'=c·acc_j</w:t>
      </w:r>
      <w:r>
        <w:t xml:space="preserve">, akkor</w:t>
      </w:r>
      <w:r>
        <w:t xml:space="preserve"> </w:t>
      </w:r>
      <w:r>
        <w:rPr>
          <w:rStyle w:val="VerbatimChar"/>
        </w:rPr>
        <w:t xml:space="preserve">lambda_acc_j'=c·lambda_acc_j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omega_acc_j'=omega_acc_j/c</w:t>
      </w:r>
      <w:r>
        <w:t xml:space="preserve"> </w:t>
      </w:r>
      <w:r>
        <w:t xml:space="preserve">mellett a megfigyelhető beruházási</w:t>
      </w:r>
      <w:r>
        <w:t xml:space="preserve"> </w:t>
      </w:r>
      <w:r>
        <w:t xml:space="preserve">viselkedés pontosan ugyanaz marad) — csak a</w:t>
      </w:r>
      <w:r>
        <w:t xml:space="preserve"> </w:t>
      </w:r>
      <w:r>
        <w:rPr>
          <w:b/>
          <w:bCs/>
        </w:rPr>
        <w:t xml:space="preserve">szorzatuk</w:t>
      </w:r>
      <w:r>
        <w:t xml:space="preserve"> </w:t>
      </w:r>
      <w:r>
        <w:t xml:space="preserve">van</w:t>
      </w:r>
      <w:r>
        <w:t xml:space="preserve"> </w:t>
      </w:r>
      <w:r>
        <w:t xml:space="preserve">azonosítva. Ez pontosan analóg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-ben már dokumentált</w:t>
      </w:r>
      <w:r>
        <w:t xml:space="preserve"> </w:t>
      </w:r>
      <w:r>
        <w:rPr>
          <w:rStyle w:val="VerbatimChar"/>
        </w:rPr>
        <w:t xml:space="preserve">LAMSCALE</w:t>
      </w:r>
      <w:r>
        <w:t xml:space="preserve">/</w:t>
      </w:r>
      <w:r>
        <w:rPr>
          <w:rStyle w:val="VerbatimChar"/>
        </w:rPr>
        <w:t xml:space="preserve">OMSCALE</w:t>
      </w:r>
      <w:r>
        <w:t xml:space="preserve"> </w:t>
      </w:r>
      <w:r>
        <w:t xml:space="preserve">(λ·ω=500) felismeréshez. Emiatt egy jövőbeli</w:t>
      </w:r>
      <w:r>
        <w:t xml:space="preserve"> </w:t>
      </w:r>
      <w:r>
        <w:t xml:space="preserve">kalibrációnak is a szorzatot kellene céloznia (pl. SMM-momentum-</w:t>
      </w:r>
      <w:r>
        <w:t xml:space="preserve"> </w:t>
      </w:r>
      <w:r>
        <w:t xml:space="preserve">illesztéssel), nem a két tényezőt külön-külön.</w:t>
      </w:r>
    </w:p>
    <w:p>
      <w:r>
        <w:pict>
          <v:rect style="width:0;height:1.5pt" o:hralign="center" o:hrstd="t" o:hr="t"/>
        </w:pict>
      </w:r>
    </w:p>
    <w:bookmarkEnd w:id="12"/>
    <w:bookmarkStart w:id="13" w:name="Xbc047f66f5859af753b6de4bfe03d916b93431a"/>
    <w:p>
      <w:pPr>
        <w:pStyle w:val="Heading2"/>
      </w:pPr>
      <w:r>
        <w:t xml:space="preserve">5. psi_E, psi_D — beruházási kiigazítási költség (psi_L: lásd IV. rész, irodalmi horgony)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Mennyire drága egy cégtípusnak gyorsan változtatni a</w:t>
      </w:r>
      <w:r>
        <w:t xml:space="preserve"> </w:t>
      </w:r>
      <w:r>
        <w:t xml:space="preserve">beruházás ütemén — minél nagyobb, annál lassabban reagál egy kedvezőbb</w:t>
      </w:r>
      <w:r>
        <w:t xml:space="preserve"> </w:t>
      </w:r>
      <w:r>
        <w:t xml:space="preserve">hitelkörnyezetre.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i_j = 1/(1+beta)·i_j(−1) + beta/(1+beta)·i_j(+1) + 1/((1+beta)·psi_j)·q_j + omega_acc_j·acc_j + e_i_ar</w:t>
      </w:r>
    </w:p>
    <w:p>
      <w:pPr>
        <w:pStyle w:val="FirstParagraph"/>
      </w:pPr>
      <w:r>
        <w:rPr>
          <w:b/>
          <w:bCs/>
        </w:rPr>
        <w:t xml:space="preserve">Kiszámítás módja / becslési kísérlet.</w:t>
      </w:r>
      <w:r>
        <w:t xml:space="preserve"> </w:t>
      </w:r>
      <w:r>
        <w:t xml:space="preserve">A táblázat saját megjegyzése</w:t>
      </w:r>
      <w:r>
        <w:t xml:space="preserve"> </w:t>
      </w:r>
      <w:r>
        <w:t xml:space="preserve">szerint ehhez nincs kész OPTEN-módszertan, csak egy meeting-jegyzet:</w:t>
      </w:r>
      <w:r>
        <w:t xml:space="preserve"> </w:t>
      </w:r>
      <w:r>
        <w:t xml:space="preserve">“dekomponáljuk, Cégszintű fix hatás + közös évhatás??”</w:t>
      </w:r>
      <w:r>
        <w:t xml:space="preserve"> </w:t>
      </w:r>
      <w:r>
        <w:t xml:space="preserve">— ez</w:t>
      </w:r>
      <w:r>
        <w:t xml:space="preserve"> </w:t>
      </w:r>
      <w:r>
        <w:rPr>
          <w:b/>
          <w:bCs/>
        </w:rPr>
        <w:t xml:space="preserve">nem</w:t>
      </w:r>
      <w:r>
        <w:rPr>
          <w:b/>
          <w:bCs/>
        </w:rPr>
        <w:t xml:space="preserve"> </w:t>
      </w:r>
      <w:r>
        <w:rPr>
          <w:b/>
          <w:bCs/>
        </w:rPr>
        <w:t xml:space="preserve">strukturális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psi</w:t>
      </w:r>
      <w:r>
        <w:rPr>
          <w:b/>
          <w:bCs/>
        </w:rPr>
        <w:t xml:space="preserve">-becslés</w:t>
      </w:r>
      <w:r>
        <w:t xml:space="preserve">, csak egy irányjelző feltáró elemzés. A</w:t>
      </w:r>
      <w:r>
        <w:t xml:space="preserve"> </w:t>
      </w:r>
      <w:r>
        <w:t xml:space="preserve">közvetlen</w:t>
      </w:r>
      <w:r>
        <w:t xml:space="preserve"> </w:t>
      </w:r>
      <w:r>
        <w:t xml:space="preserve">“Beruházások, felújítások”</w:t>
      </w:r>
      <w:r>
        <w:t xml:space="preserve"> </w:t>
      </w:r>
      <w:r>
        <w:t xml:space="preserve">sor csak a cég-évek 15,7%-ában</w:t>
      </w:r>
      <w:r>
        <w:t xml:space="preserve"> </w:t>
      </w:r>
      <w:r>
        <w:t xml:space="preserve">kitöltött, ezért egy</w:t>
      </w:r>
      <w:r>
        <w:t xml:space="preserve"> </w:t>
      </w:r>
      <w:r>
        <w:rPr>
          <w:b/>
          <w:bCs/>
        </w:rPr>
        <w:t xml:space="preserve">permanens leltár proxy</w:t>
      </w:r>
      <w:r>
        <w:t xml:space="preserve">-t építettünk:</w:t>
      </w:r>
      <w:r>
        <w:t xml:space="preserve"> </w:t>
      </w:r>
      <w:r>
        <w:rPr>
          <w:rStyle w:val="VerbatimChar"/>
        </w:rPr>
        <w:t xml:space="preserve">I_t = (TÁRGYI ESZKÖZÖK_t − TÁRGYI ESZKÖZÖK_{t-1}) + Értékcsökkenési leírás_t</w:t>
      </w:r>
      <w:r>
        <w:t xml:space="preserve"> </w:t>
      </w:r>
      <w:r>
        <w:t xml:space="preserve">(78,1%-os lefedettség). A beruházási ráta (</w:t>
      </w:r>
      <w:r>
        <w:rPr>
          <w:rStyle w:val="VerbatimChar"/>
        </w:rPr>
        <w:t xml:space="preserve">I_t/TÁRGYI ESZKÖZÖK_{t-1}</w:t>
      </w:r>
      <w:r>
        <w:t xml:space="preserve">)</w:t>
      </w:r>
      <w:r>
        <w:t xml:space="preserve"> </w:t>
      </w:r>
      <w:r>
        <w:t xml:space="preserve">reziduumát nézzük cégFE + KÖZÖS évFE (pooled, iteratív kétutas</w:t>
      </w:r>
      <w:r>
        <w:t xml:space="preserve"> </w:t>
      </w:r>
      <w:r>
        <w:t xml:space="preserve">demeanelés) kivonása után — a reziduum-szórás fordítottan arányos a</w:t>
      </w:r>
      <w:r>
        <w:t xml:space="preserve"> </w:t>
      </w:r>
      <w:r>
        <w:t xml:space="preserve">feltételezett kiigazítási költséggel.</w:t>
      </w:r>
    </w:p>
    <w:p>
      <w:pPr>
        <w:pStyle w:val="BodyText"/>
      </w:pPr>
      <w:r>
        <w:rPr>
          <w:b/>
          <w:bCs/>
        </w:rPr>
        <w:t xml:space="preserve">Szükséges inputok.</w:t>
      </w:r>
      <w:r>
        <w:t xml:space="preserve"> </w:t>
      </w:r>
      <w:r>
        <w:t xml:space="preserve">TÁRGYI ESZKÖZÖK, Értékcsökkenési leírás, Év,</w:t>
      </w:r>
      <w:r>
        <w:t xml:space="preserve"> </w:t>
      </w:r>
      <w:r>
        <w:t xml:space="preserve">Opten azonosító (a szegmentációhoz létszám/export-arány is).</w:t>
      </w:r>
    </w:p>
    <w:p>
      <w:pPr>
        <w:pStyle w:val="BodyText"/>
      </w:pPr>
      <w:r>
        <w:rPr>
          <w:b/>
          <w:bCs/>
        </w:rPr>
        <w:t xml:space="preserve">A script rövid leírása.</w:t>
      </w:r>
      <w:r>
        <w:t xml:space="preserve"> </w:t>
      </w:r>
      <w:r>
        <w:rPr>
          <w:rStyle w:val="VerbatimChar"/>
        </w:rPr>
        <w:t xml:space="preserve">outputs/2026-09-22_tomi_psi_kutatas/calc_psi_robustness_full.py</w:t>
      </w:r>
      <w:r>
        <w:t xml:space="preserve"> </w:t>
      </w:r>
      <w:r>
        <w:t xml:space="preserve">— pooled közös évFE-vel, 4 csonkolási ablakkal (</w:t>
      </w:r>
      <w:r>
        <w:rPr>
          <w:rStyle w:val="VerbatimChar"/>
        </w:rPr>
        <w:t xml:space="preserve">[-1,3]</w:t>
      </w:r>
      <w:r>
        <w:t xml:space="preserve">,</w:t>
      </w:r>
      <w:r>
        <w:t xml:space="preserve"> </w:t>
      </w:r>
      <w:r>
        <w:rPr>
          <w:rStyle w:val="VerbatimChar"/>
        </w:rPr>
        <w:t xml:space="preserve">[-0,5,1,5]</w:t>
      </w:r>
      <w:r>
        <w:t xml:space="preserve">,</w:t>
      </w:r>
      <w:r>
        <w:t xml:space="preserve"> </w:t>
      </w:r>
      <w:r>
        <w:rPr>
          <w:rStyle w:val="VerbatimChar"/>
        </w:rPr>
        <w:t xml:space="preserve">[-1,1]</w:t>
      </w:r>
      <w:r>
        <w:t xml:space="preserve">,</w:t>
      </w:r>
      <w:r>
        <w:t xml:space="preserve"> </w:t>
      </w:r>
      <w:r>
        <w:rPr>
          <w:rStyle w:val="VerbatimChar"/>
        </w:rPr>
        <w:t xml:space="preserve">[-2,5]</w:t>
      </w:r>
      <w:r>
        <w:t xml:space="preserve">), IQR-rel és singleton-cég diagnosztikával.</w:t>
      </w:r>
    </w:p>
    <w:p>
      <w:pPr>
        <w:pStyle w:val="BodyText"/>
      </w:pPr>
      <w:r>
        <w:rPr>
          <w:b/>
          <w:bCs/>
        </w:rPr>
        <w:t xml:space="preserve">Eredmény (csak irányjelző, nem kalibráció-kész; 2026-09-24-től 50%-os</w:t>
      </w:r>
      <w:r>
        <w:rPr>
          <w:b/>
          <w:bCs/>
        </w:rPr>
        <w:t xml:space="preserve"> </w:t>
      </w:r>
      <w:r>
        <w:rPr>
          <w:b/>
          <w:bCs/>
        </w:rPr>
        <w:t xml:space="preserve">E/D exportküszöbre javítva, lásd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om_j</w:t>
      </w:r>
      <w:r>
        <w:rPr>
          <w:b/>
          <w:bCs/>
        </w:rPr>
        <w:t xml:space="preserve"> </w:t>
      </w:r>
      <w:r>
        <w:rPr>
          <w:b/>
          <w:bCs/>
        </w:rPr>
        <w:t xml:space="preserve">fejezet elején az indoklást —</w:t>
      </w:r>
      <w:r>
        <w:rPr>
          <w:b/>
          <w:bCs/>
        </w:rPr>
        <w:t xml:space="preserve"> </w:t>
      </w:r>
      <w:r>
        <w:rPr>
          <w:b/>
          <w:bCs/>
        </w:rPr>
        <w:t xml:space="preserve">a számok a régi 25%-os küszöbhöz képest alig mozdultak):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Szegmens</w:t>
            </w:r>
          </w:p>
        </w:tc>
        <w:tc>
          <w:tcPr/>
          <w:p>
            <w:pPr>
              <w:pStyle w:val="Compact"/>
            </w:pPr>
            <w:r>
              <w:t xml:space="preserve">reziduum-std (pooled, közös évFE)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0,3790</w:t>
            </w:r>
          </w:p>
        </w:tc>
        <w:tc>
          <w:tcPr/>
          <w:p>
            <w:pPr>
              <w:pStyle w:val="Compact"/>
            </w:pPr>
            <w:r>
              <w:t xml:space="preserve">0,26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0,4300</w:t>
            </w:r>
          </w:p>
        </w:tc>
        <w:tc>
          <w:tcPr/>
          <w:p>
            <w:pPr>
              <w:pStyle w:val="Compact"/>
            </w:pPr>
            <w:r>
              <w:t xml:space="preserve">0,31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0,3103</w:t>
            </w:r>
          </w:p>
        </w:tc>
        <w:tc>
          <w:tcPr/>
          <w:p>
            <w:pPr>
              <w:pStyle w:val="Compact"/>
            </w:pPr>
            <w:r>
              <w:t xml:space="preserve">0,22</w:t>
            </w:r>
          </w:p>
        </w:tc>
      </w:tr>
    </w:tbl>
    <w:p>
      <w:pPr>
        <w:pStyle w:val="BodyText"/>
      </w:pPr>
      <w:r>
        <w:t xml:space="preserve">Sorrend</w:t>
      </w:r>
      <w:r>
        <w:t xml:space="preserve"> </w:t>
      </w:r>
      <w:r>
        <w:rPr>
          <w:b/>
          <w:bCs/>
        </w:rPr>
        <w:t xml:space="preserve">D&gt;E&gt;L</w:t>
      </w:r>
      <w:r>
        <w:t xml:space="preserve"> </w:t>
      </w:r>
      <w:r>
        <w:t xml:space="preserve">minden csonkolási ablakon és mindkét szórásmértéken</w:t>
      </w:r>
      <w:r>
        <w:t xml:space="preserve"> </w:t>
      </w:r>
      <w:r>
        <w:t xml:space="preserve">stabil —</w:t>
      </w:r>
      <w:r>
        <w:t xml:space="preserve"> </w:t>
      </w:r>
      <w:r>
        <w:rPr>
          <w:b/>
          <w:bCs/>
        </w:rPr>
        <w:t xml:space="preserve">50%-os küszöbön újrafuttatva is megerősítve.</w:t>
      </w:r>
      <w:r>
        <w:t xml:space="preserve"> </w:t>
      </w:r>
      <w:r>
        <w:t xml:space="preserve">Ha a</w:t>
      </w:r>
      <w:r>
        <w:t xml:space="preserve"> </w:t>
      </w:r>
      <w:r>
        <w:t xml:space="preserve">reziduum-szórás fordítottan arányos a kiigazítási költséggel, ez arra</w:t>
      </w:r>
      <w:r>
        <w:t xml:space="preserve"> </w:t>
      </w:r>
      <w:r>
        <w:t xml:space="preserve">utal, hogy a jelenlegi</w:t>
      </w:r>
      <w:r>
        <w:t xml:space="preserve"> </w:t>
      </w:r>
      <w:r>
        <w:rPr>
          <w:rStyle w:val="VerbatimChar"/>
        </w:rPr>
        <w:t xml:space="preserve">psi_E=psi_D=8</w:t>
      </w:r>
      <w:r>
        <w:t xml:space="preserve"> </w:t>
      </w:r>
      <w:r>
        <w:t xml:space="preserve">feltevés megkérdőjelezhető (a</w:t>
      </w:r>
      <w:r>
        <w:t xml:space="preserve"> </w:t>
      </w:r>
      <w:r>
        <w:t xml:space="preserve">hazai KKV beruházása rugalmasabbnak tűnik, mint az export-KKV-é),</w:t>
      </w:r>
      <w:r>
        <w:t xml:space="preserve"> </w:t>
      </w:r>
      <w:r>
        <w:rPr>
          <w:rStyle w:val="VerbatimChar"/>
        </w:rPr>
        <w:t xml:space="preserve">psi_L&gt;psi_E,D</w:t>
      </w:r>
      <w:r>
        <w:t xml:space="preserve"> </w:t>
      </w:r>
      <w:r>
        <w:t xml:space="preserve">viszont alátámasztott.</w:t>
      </w:r>
    </w:p>
    <w:p>
      <w:pPr>
        <w:pStyle w:val="BodyText"/>
      </w:pPr>
      <w:r>
        <w:rPr>
          <w:b/>
          <w:bCs/>
        </w:rPr>
        <w:t xml:space="preserve">Megbízhatóság: ALACSONY / CSAK IRÁNYJELZŐ.</w:t>
      </w:r>
      <w:r>
        <w:t xml:space="preserve"> </w:t>
      </w:r>
      <w:r>
        <w:t xml:space="preserve">A reziduum-szórás és a</w:t>
      </w:r>
      <w:r>
        <w:t xml:space="preserve"> </w:t>
      </w:r>
      <w:r>
        <w:t xml:space="preserve">strukturális kiigazítási-költség-paraméter kapcsolata nem egy-az-egyben</w:t>
      </w:r>
      <w:r>
        <w:t xml:space="preserve"> </w:t>
      </w:r>
      <w:r>
        <w:t xml:space="preserve">lineáris. Egy korábbi javaslat (</w:t>
      </w:r>
      <w:r>
        <w:rPr>
          <w:rStyle w:val="VerbatimChar"/>
        </w:rPr>
        <w:t xml:space="preserve">psi_E=9</w:t>
      </w:r>
      <w:r>
        <w:t xml:space="preserve">,</w:t>
      </w:r>
      <w:r>
        <w:t xml:space="preserve"> </w:t>
      </w:r>
      <w:r>
        <w:rPr>
          <w:rStyle w:val="VerbatimChar"/>
        </w:rPr>
        <w:t xml:space="preserve">psi_D=7</w:t>
      </w:r>
      <w:r>
        <w:t xml:space="preserve">, a JV-átlagot</w:t>
      </w:r>
      <w:r>
        <w:t xml:space="preserve"> </w:t>
      </w:r>
      <w:r>
        <w:t xml:space="preserve">megőrizve)</w:t>
      </w:r>
      <w:r>
        <w:t xml:space="preserve"> </w:t>
      </w:r>
      <w:r>
        <w:rPr>
          <w:b/>
          <w:bCs/>
        </w:rPr>
        <w:t xml:space="preserve">visszavonva</w:t>
      </w:r>
      <w:r>
        <w:t xml:space="preserve">: a modell</w:t>
      </w:r>
      <w:r>
        <w:t xml:space="preserve"> </w:t>
      </w:r>
      <w:r>
        <w:rPr>
          <w:rStyle w:val="VerbatimChar"/>
        </w:rPr>
        <w:t xml:space="preserve">1/psi_j</w:t>
      </w:r>
      <w:r>
        <w:t xml:space="preserve"> </w:t>
      </w:r>
      <w:r>
        <w:t xml:space="preserve">alakban hat, ezért a</w:t>
      </w:r>
      <w:r>
        <w:t xml:space="preserve"> </w:t>
      </w:r>
      <w:r>
        <w:t xml:space="preserve">számtani átlag megőrzése NEM őrzi meg az aggregát érzékenységet</w:t>
      </w:r>
      <w:r>
        <w:t xml:space="preserve"> </w:t>
      </w:r>
      <w:r>
        <w:t xml:space="preserve">(ellenőrizve:</w:t>
      </w:r>
      <w:r>
        <w:t xml:space="preserve"> </w:t>
      </w:r>
      <w:r>
        <w:rPr>
          <w:rStyle w:val="VerbatimChar"/>
        </w:rPr>
        <w:t xml:space="preserve">(om_E+om_D)/8=0,058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om_E/9+om_D/7=0,063</w:t>
      </w:r>
      <w:r>
        <w:t xml:space="preserve">, ~8%-kal</w:t>
      </w:r>
      <w:r>
        <w:t xml:space="preserve"> </w:t>
      </w:r>
      <w:r>
        <w:t xml:space="preserve">nagyobb).</w:t>
      </w:r>
      <w:r>
        <w:t xml:space="preserve"> </w:t>
      </w:r>
      <w:r>
        <w:rPr>
          <w:b/>
          <w:bCs/>
        </w:rPr>
        <w:t xml:space="preserve">Jelenleg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psi_E=psi_D=8</w:t>
      </w:r>
      <w:r>
        <w:rPr>
          <w:b/>
          <w:bCs/>
        </w:rPr>
        <w:t xml:space="preserve"> </w:t>
      </w:r>
      <w:r>
        <w:rPr>
          <w:b/>
          <w:bCs/>
        </w:rPr>
        <w:t xml:space="preserve">marad</w:t>
      </w:r>
      <w:r>
        <w:t xml:space="preserve">, amíg a csapat el nem</w:t>
      </w:r>
      <w:r>
        <w:t xml:space="preserve"> </w:t>
      </w:r>
      <w:r>
        <w:t xml:space="preserve">dönti, mit kell megőriznie egy jövőbeli szétbontásnak. Strukturális</w:t>
      </w:r>
      <w:r>
        <w:t xml:space="preserve"> </w:t>
      </w:r>
      <w:r>
        <w:t xml:space="preserve">becsléshez egy beruházási Euler-egyenlet GMM-illesztése kellene</w:t>
      </w:r>
      <w:r>
        <w:t xml:space="preserve"> </w:t>
      </w:r>
      <w:r>
        <w:t xml:space="preserve">(Gala–Gomes</w:t>
      </w:r>
      <w:r>
        <w:t xml:space="preserve"> </w:t>
      </w:r>
      <w:r>
        <w:t xml:space="preserve">“Investment without Q”</w:t>
      </w:r>
      <w:r>
        <w:t xml:space="preserve">; Lenzu–Manaresi</w:t>
      </w:r>
      <w:r>
        <w:t xml:space="preserve"> </w:t>
      </w:r>
      <w:r>
        <w:t xml:space="preserve">“The cost and shadow</w:t>
      </w:r>
      <w:r>
        <w:t xml:space="preserve"> </w:t>
      </w:r>
      <w:r>
        <w:t xml:space="preserve">cost of credit”</w:t>
      </w:r>
      <w:r>
        <w:t xml:space="preserve"> </w:t>
      </w:r>
      <w:r>
        <w:t xml:space="preserve">— olasz cégszintű adaton hasonló árnyékár-konstrukció)</w:t>
      </w:r>
      <w:r>
        <w:t xml:space="preserve"> </w:t>
      </w:r>
      <w:r>
        <w:t xml:space="preserve">— ez önálló, nagyobb ökonometriai projekt.</w:t>
      </w:r>
    </w:p>
    <w:p>
      <w:r>
        <w:br w:type="page"/>
      </w:r>
    </w:p>
    <w:bookmarkEnd w:id="13"/>
    <w:bookmarkEnd w:id="14"/>
    <w:bookmarkStart w:id="18" w:name="ii.-prémium-transzmisszió"/>
    <w:p>
      <w:pPr>
        <w:pStyle w:val="Heading1"/>
      </w:pPr>
      <w:r>
        <w:t xml:space="preserve">II. Prémium-transzmisszió</w:t>
      </w:r>
    </w:p>
    <w:bookmarkStart w:id="15" w:name="Xdae6ec334234df8c3a59eed5dcf5df48eac12ab"/>
    <w:p>
      <w:pPr>
        <w:pStyle w:val="Heading2"/>
      </w:pPr>
      <w:r>
        <w:t xml:space="preserve">6. tsov_E, tsov_D, tsov_L — szuverén felár begyűrűzése a vállalati hitelfelárba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 szuverén (állampapír-) felár csökkenésének hányad</w:t>
      </w:r>
      <w:r>
        <w:t xml:space="preserve"> </w:t>
      </w:r>
      <w:r>
        <w:t xml:space="preserve">része jelenik meg az adott cégtípus hitelfelárában.</w:t>
      </w:r>
    </w:p>
    <w:p>
      <w:pPr>
        <w:pStyle w:val="BodyText"/>
      </w:pPr>
      <w:r>
        <w:rPr>
          <w:b/>
          <w:bCs/>
        </w:rPr>
        <w:t xml:space="preserve">Szerep a modellben.</w:t>
      </w:r>
      <w:r>
        <w:t xml:space="preserve"> </w:t>
      </w:r>
      <w:r>
        <w:t xml:space="preserve">Lásd a</w:t>
      </w:r>
      <w:r>
        <w:t xml:space="preserve"> </w:t>
      </w:r>
      <w:r>
        <w:rPr>
          <w:rStyle w:val="VerbatimChar"/>
        </w:rPr>
        <w:t xml:space="preserve">chi_j</w:t>
      </w:r>
      <w:r>
        <w:t xml:space="preserve">-nél idézett</w:t>
      </w:r>
      <w:r>
        <w:t xml:space="preserve"> </w:t>
      </w:r>
      <w:r>
        <w:rPr>
          <w:rStyle w:val="VerbatimChar"/>
        </w:rPr>
        <w:t xml:space="preserve">efp_j</w:t>
      </w:r>
      <w:r>
        <w:t xml:space="preserve"> </w:t>
      </w:r>
      <w:r>
        <w:t xml:space="preserve">egyenletet —</w:t>
      </w:r>
      <w:r>
        <w:t xml:space="preserve"> </w:t>
      </w:r>
      <w:r>
        <w:rPr>
          <w:rStyle w:val="VerbatimChar"/>
        </w:rPr>
        <w:t xml:space="preserve">tsov_j·sov</w:t>
      </w:r>
      <w:r>
        <w:t xml:space="preserve"> </w:t>
      </w:r>
      <w:r>
        <w:t xml:space="preserve">tag.</w:t>
      </w:r>
    </w:p>
    <w:p>
      <w:pPr>
        <w:pStyle w:val="BodyText"/>
      </w:pPr>
      <w:r>
        <w:rPr>
          <w:b/>
          <w:bCs/>
        </w:rPr>
        <w:t xml:space="preserve">Kiszámítás módja / becslési kísérlet.</w:t>
      </w:r>
      <w:r>
        <w:t xml:space="preserve"> </w:t>
      </w:r>
      <w:r>
        <w:t xml:space="preserve">Az adathiány (nincs magyar</w:t>
      </w:r>
      <w:r>
        <w:t xml:space="preserve"> </w:t>
      </w:r>
      <w:r>
        <w:t xml:space="preserve">szuverén felár idősor) 2026-09-22-ben megszűnt:</w:t>
      </w:r>
      <w:r>
        <w:t xml:space="preserve"> </w:t>
      </w:r>
      <w:r>
        <w:rPr>
          <w:b/>
          <w:bCs/>
        </w:rPr>
        <w:t xml:space="preserve">FRED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IRLTLT01HUM156N</w:t>
      </w:r>
      <w:r>
        <w:t xml:space="preserve"> </w:t>
      </w:r>
      <w:r>
        <w:t xml:space="preserve">(magyar 10 éves állampapírhozam) mínusz</w:t>
      </w:r>
      <w:r>
        <w:t xml:space="preserve"> </w:t>
      </w:r>
      <w:r>
        <w:rPr>
          <w:b/>
          <w:bCs/>
        </w:rPr>
        <w:t xml:space="preserve">FRED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IRLTLT01DEM156N</w:t>
      </w:r>
      <w:r>
        <w:t xml:space="preserve"> </w:t>
      </w:r>
      <w:r>
        <w:t xml:space="preserve">(német Bund-hozam), havi, 2017–2025. Cégszintű fix hatásos (within) OLS:</w:t>
      </w:r>
      <w:r>
        <w:t xml:space="preserve"> </w:t>
      </w:r>
      <w:r>
        <w:rPr>
          <w:rStyle w:val="VerbatimChar"/>
        </w:rPr>
        <w:t xml:space="preserve">implicit_kamatráta_it = α_i + β_j·szuverén_felár_t + ε_it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Szükséges inputok.</w:t>
      </w:r>
      <w:r>
        <w:t xml:space="preserve"> </w:t>
      </w:r>
      <w:r>
        <w:t xml:space="preserve">Cégszintű implicit hitelkamat (Opten, 7,9%-os</w:t>
      </w:r>
      <w:r>
        <w:t xml:space="preserve"> </w:t>
      </w:r>
      <w:r>
        <w:t xml:space="preserve">lefedettség), FRED szuverén felár idősor.</w:t>
      </w:r>
    </w:p>
    <w:p>
      <w:pPr>
        <w:pStyle w:val="BodyText"/>
      </w:pPr>
      <w:r>
        <w:rPr>
          <w:b/>
          <w:bCs/>
        </w:rPr>
        <w:t xml:space="preserve">A script rövid leírása.</w:t>
      </w:r>
      <w:r>
        <w:t xml:space="preserve"> </w:t>
      </w:r>
      <w:r>
        <w:rPr>
          <w:rStyle w:val="VerbatimChar"/>
        </w:rPr>
        <w:t xml:space="preserve">outputs/2026-09-22_tomi_tbank_zsov_kutatas/calc_tsov_zsov.py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Eredmény — VISSZAVONT saját becslés.</w:t>
      </w:r>
      <w:r>
        <w:t xml:space="preserve"> </w:t>
      </w:r>
      <w:r>
        <w:t xml:space="preserve">Az univariált regresszió</w:t>
      </w:r>
      <w:r>
        <w:t xml:space="preserve"> </w:t>
      </w:r>
      <w:r>
        <w:t xml:space="preserve">(0,92/1,18/2,01 pp/pp E/D/L-re)</w:t>
      </w:r>
      <w:r>
        <w:t xml:space="preserve"> </w:t>
      </w:r>
      <w:r>
        <w:rPr>
          <w:b/>
          <w:bCs/>
        </w:rPr>
        <w:t xml:space="preserve">visszavonva</w:t>
      </w:r>
      <w:r>
        <w:t xml:space="preserve">: a BUBOR és a szuverén</w:t>
      </w:r>
      <w:r>
        <w:t xml:space="preserve"> </w:t>
      </w:r>
      <w:r>
        <w:t xml:space="preserve">felár éves korrelációja</w:t>
      </w:r>
      <w:r>
        <w:t xml:space="preserve"> </w:t>
      </w:r>
      <w:r>
        <w:rPr>
          <w:b/>
          <w:bCs/>
        </w:rPr>
        <w:t xml:space="preserve">0,883</w:t>
      </w:r>
      <w:r>
        <w:t xml:space="preserve"> </w:t>
      </w:r>
      <w:r>
        <w:t xml:space="preserve">— mindkettőt a 2022–2023-as inflációs</w:t>
      </w:r>
      <w:r>
        <w:t xml:space="preserve"> </w:t>
      </w:r>
      <w:r>
        <w:t xml:space="preserve">sokk hajtja. Egy együttes (BUBOR + szuverén felár) regresszióban a</w:t>
      </w:r>
      <w:r>
        <w:t xml:space="preserve"> </w:t>
      </w:r>
      <w:r>
        <w:t xml:space="preserve">szuverén felár együtthatója E-re és L-re</w:t>
      </w:r>
      <w:r>
        <w:t xml:space="preserve"> </w:t>
      </w:r>
      <w:r>
        <w:rPr>
          <w:b/>
          <w:bCs/>
        </w:rPr>
        <w:t xml:space="preserve">negatívvá</w:t>
      </w:r>
      <w:r>
        <w:t xml:space="preserve"> </w:t>
      </w:r>
      <w:r>
        <w:t xml:space="preserve">válik</w:t>
      </w:r>
      <w:r>
        <w:t xml:space="preserve"> </w:t>
      </w:r>
      <w:r>
        <w:t xml:space="preserve">(multikollinearitási tünet, matematikailag levezetve a Frisch–Waugh–</w:t>
      </w:r>
      <w:r>
        <w:t xml:space="preserve"> </w:t>
      </w:r>
      <w:r>
        <w:t xml:space="preserve">Lovell-tételből — ellenőrizve, stimmel).</w:t>
      </w:r>
      <w:r>
        <w:t xml:space="preserve"> </w:t>
      </w:r>
      <w:r>
        <w:rPr>
          <w:b/>
          <w:bCs/>
        </w:rPr>
        <w:t xml:space="preserve">Kiderült, hogy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.mod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CALIB26</w:t>
      </w:r>
      <w:r>
        <w:rPr>
          <w:b/>
          <w:bCs/>
        </w:rPr>
        <w:t xml:space="preserve"> </w:t>
      </w:r>
      <w:r>
        <w:rPr>
          <w:b/>
          <w:bCs/>
        </w:rPr>
        <w:t xml:space="preserve">ága már megtalálta ugyanezt a problémát</w:t>
      </w:r>
      <w:r>
        <w:t xml:space="preserve"> </w:t>
      </w:r>
      <w:r>
        <w:t xml:space="preserve">(</w:t>
      </w:r>
      <w:r>
        <w:t xml:space="preserve">“tsov ~ 0: a</w:t>
      </w:r>
      <w:r>
        <w:t xml:space="preserve"> </w:t>
      </w:r>
      <w:r>
        <w:t xml:space="preserve">review</w:t>
      </w:r>
      <w:r>
        <w:t xml:space="preserve"> </w:t>
      </w:r>
      <w:r>
        <w:t xml:space="preserve">‘BUBOR-kontroll mellett eltunik’</w:t>
      </w:r>
      <w:r>
        <w:t xml:space="preserve"> </w:t>
      </w:r>
      <w:r>
        <w:t xml:space="preserve">eredmenye KOLLINEARITASI</w:t>
      </w:r>
      <w:r>
        <w:t xml:space="preserve"> </w:t>
      </w:r>
      <w:r>
        <w:t xml:space="preserve">muvertek… nem a nulla strukturalis atgyuruzes bizonyiteka”</w:t>
      </w:r>
      <w:r>
        <w:t xml:space="preserve">) és</w:t>
      </w:r>
      <w:r>
        <w:t xml:space="preserve"> </w:t>
      </w:r>
      <w:r>
        <w:t xml:space="preserve">válaszul egy konzervatív</w:t>
      </w:r>
      <w:r>
        <w:t xml:space="preserve"> </w:t>
      </w:r>
      <w:r>
        <w:rPr>
          <w:rStyle w:val="VerbatimChar"/>
        </w:rPr>
        <w:t xml:space="preserve">tsov_E=tsov_D=tsov_L=0,025</w:t>
      </w:r>
      <w:r>
        <w:t xml:space="preserve">-öt választott (a</w:t>
      </w:r>
      <w:r>
        <w:t xml:space="preserve"> </w:t>
      </w:r>
      <w:r>
        <w:t xml:space="preserve">0,00–0,05-ös rács középpontja).</w:t>
      </w:r>
      <w:r>
        <w:t xml:space="preserve"> </w:t>
      </w:r>
      <w:r>
        <w:rPr>
          <w:b/>
          <w:bCs/>
        </w:rPr>
        <w:t xml:space="preserve">A helyes referenciapont ez a 0,025</w:t>
      </w:r>
      <w:r>
        <w:rPr>
          <w:b/>
          <w:bCs/>
        </w:rPr>
        <w:t xml:space="preserve"> </w:t>
      </w:r>
      <w:r>
        <w:rPr>
          <w:b/>
          <w:bCs/>
        </w:rPr>
        <w:t xml:space="preserve">(vagy az alapértelmezett 0,175, ha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CALIB26</w:t>
      </w:r>
      <w:r>
        <w:rPr>
          <w:b/>
          <w:bCs/>
        </w:rPr>
        <w:t xml:space="preserve"> </w:t>
      </w:r>
      <w:r>
        <w:rPr>
          <w:b/>
          <w:bCs/>
        </w:rPr>
        <w:t xml:space="preserve">ág nincs bekapcsolva),</w:t>
      </w:r>
      <w:r>
        <w:rPr>
          <w:b/>
          <w:bCs/>
        </w:rPr>
        <w:t xml:space="preserve"> </w:t>
      </w:r>
      <w:r>
        <w:rPr>
          <w:b/>
          <w:bCs/>
        </w:rPr>
        <w:t xml:space="preserve">NEM a saját univariált számunk.</w:t>
      </w:r>
    </w:p>
    <w:p>
      <w:pPr>
        <w:pStyle w:val="BodyText"/>
      </w:pPr>
      <w:r>
        <w:rPr>
          <w:b/>
          <w:bCs/>
        </w:rPr>
        <w:t xml:space="preserve">Megbízhatóság: NYITOTT — módszertani, nem adathiányos korlát.</w:t>
      </w:r>
      <w:r>
        <w:t xml:space="preserve"> </w:t>
      </w:r>
      <w:r>
        <w:t xml:space="preserve">Amíg a</w:t>
      </w:r>
      <w:r>
        <w:t xml:space="preserve"> </w:t>
      </w:r>
      <w:r>
        <w:t xml:space="preserve">szuverén kockázat és a banki forrásköltség egy-két nagy, közös sokk</w:t>
      </w:r>
      <w:r>
        <w:t xml:space="preserve"> </w:t>
      </w:r>
      <w:r>
        <w:t xml:space="preserve">mentén mozog együtt (nincs olyan epizód, ahol elválnak), a két csatorna</w:t>
      </w:r>
      <w:r>
        <w:t xml:space="preserve"> </w:t>
      </w:r>
      <w:r>
        <w:t xml:space="preserve">külön azonosítása nem lehetséges — ehhez vagy hosszabb idősor (olyan</w:t>
      </w:r>
      <w:r>
        <w:t xml:space="preserve"> </w:t>
      </w:r>
      <w:r>
        <w:t xml:space="preserve">időszakkal, ahol a kettő eltérő irányba mozdul), vagy egy tisztán</w:t>
      </w:r>
      <w:r>
        <w:t xml:space="preserve"> </w:t>
      </w:r>
      <w:r>
        <w:t xml:space="preserve">szuverén-kockázati sokkra épülő instrumentális változós dizájn kellene.</w:t>
      </w:r>
      <w:r>
        <w:t xml:space="preserve"> </w:t>
      </w:r>
      <w:r>
        <w:t xml:space="preserve">Kontextus (nem közvetlen szám): De Long et al. (2021, IMF WP/21/155) EM</w:t>
      </w:r>
      <w:r>
        <w:t xml:space="preserve"> </w:t>
      </w:r>
      <w:r>
        <w:t xml:space="preserve">vállalati kötvényhozamra ~0,95-ös hosszú távú begyűrűzést talál (felső</w:t>
      </w:r>
      <w:r>
        <w:t xml:space="preserve"> </w:t>
      </w:r>
      <w:r>
        <w:t xml:space="preserve">korlát-jellegű viszonyítási pont, kötvénypiaci, nem banki csatorna).</w:t>
      </w:r>
    </w:p>
    <w:p>
      <w:r>
        <w:pict>
          <v:rect style="width:0;height:1.5pt" o:hralign="center" o:hrstd="t" o:hr="t"/>
        </w:pict>
      </w:r>
    </w:p>
    <w:bookmarkEnd w:id="15"/>
    <w:bookmarkStart w:id="16" w:name="X4d20f0a4c29f02e631fe20542c0be8fa22586bd"/>
    <w:p>
      <w:pPr>
        <w:pStyle w:val="Heading2"/>
      </w:pPr>
      <w:r>
        <w:t xml:space="preserve">7. tbank_E, tbank_D, tbank_L — banki forrásköltség begyűrűzése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 banki forrásköltség csökkenésének hányad része jelenik</w:t>
      </w:r>
      <w:r>
        <w:t xml:space="preserve"> </w:t>
      </w:r>
      <w:r>
        <w:t xml:space="preserve">meg az adott cégtípus hitelfelárában.</w:t>
      </w:r>
    </w:p>
    <w:p>
      <w:pPr>
        <w:pStyle w:val="BodyText"/>
      </w:pPr>
      <w:r>
        <w:rPr>
          <w:b/>
          <w:bCs/>
        </w:rPr>
        <w:t xml:space="preserve">Kiszámítás módja.</w:t>
      </w:r>
      <w:r>
        <w:t xml:space="preserve"> </w:t>
      </w:r>
      <w:r>
        <w:t xml:space="preserve">Ugyanaz a cégFE-s within-regresszió, mint</w:t>
      </w:r>
      <w:r>
        <w:t xml:space="preserve"> </w:t>
      </w:r>
      <w:r>
        <w:rPr>
          <w:rStyle w:val="VerbatimChar"/>
        </w:rPr>
        <w:t xml:space="preserve">tsov_j</w:t>
      </w:r>
      <w:r>
        <w:t xml:space="preserve">-nél, csak BUBOR-ral (3 hónapos tenor, napi fixingek éves</w:t>
      </w:r>
      <w:r>
        <w:t xml:space="preserve"> </w:t>
      </w:r>
      <w:r>
        <w:t xml:space="preserve">átlaga)</w:t>
      </w:r>
      <w:r>
        <w:t xml:space="preserve"> </w:t>
      </w:r>
      <w:r>
        <w:rPr>
          <w:rStyle w:val="VerbatimChar"/>
        </w:rPr>
        <w:t xml:space="preserve">implicit_kamatráta</w:t>
      </w:r>
      <w:r>
        <w:t xml:space="preserve"> </w:t>
      </w:r>
      <w:r>
        <w:t xml:space="preserve">helyett.</w:t>
      </w:r>
    </w:p>
    <w:p>
      <w:pPr>
        <w:pStyle w:val="BodyText"/>
      </w:pPr>
      <w:r>
        <w:rPr>
          <w:b/>
          <w:bCs/>
        </w:rPr>
        <w:t xml:space="preserve">Szükséges inputok.</w:t>
      </w:r>
      <w:r>
        <w:t xml:space="preserve"> </w:t>
      </w:r>
      <w:r>
        <w:t xml:space="preserve">Cégszintű implicit hitelkamat (Opten, 7,9%-os</w:t>
      </w:r>
      <w:r>
        <w:t xml:space="preserve"> </w:t>
      </w:r>
      <w:r>
        <w:t xml:space="preserve">lefedettség), BUBOR-idősor (</w:t>
      </w:r>
      <w:r>
        <w:rPr>
          <w:rStyle w:val="VerbatimChar"/>
        </w:rPr>
        <w:t xml:space="preserve">data/raw/makro/bubor_tortenet.xls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 script rövid leírása.</w:t>
      </w:r>
      <w:r>
        <w:t xml:space="preserve"> </w:t>
      </w:r>
      <w:r>
        <w:rPr>
          <w:rStyle w:val="VerbatimChar"/>
        </w:rPr>
        <w:t xml:space="preserve">outputs/2026-09-22_tomi_tbank_zsov_kutatas/calc_tbank_pass_through.py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Eredmény (feltáró, nem végleges):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Szegmens</w:t>
            </w:r>
          </w:p>
        </w:tc>
        <w:tc>
          <w:tcPr/>
          <w:p>
            <w:pPr>
              <w:pStyle w:val="Compact"/>
            </w:pPr>
            <w:r>
              <w:t xml:space="preserve">béta (pp/pp)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n (cég-év)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0,319</w:t>
            </w:r>
          </w:p>
        </w:tc>
        <w:tc>
          <w:tcPr/>
          <w:p>
            <w:pPr>
              <w:pStyle w:val="Compact"/>
            </w:pPr>
            <w:r>
              <w:t xml:space="preserve">0,021</w:t>
            </w:r>
          </w:p>
        </w:tc>
        <w:tc>
          <w:tcPr/>
          <w:p>
            <w:pPr>
              <w:pStyle w:val="Compact"/>
            </w:pPr>
            <w:r>
              <w:t xml:space="preserve">7 840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0,344</w:t>
            </w:r>
          </w:p>
        </w:tc>
        <w:tc>
          <w:tcPr/>
          <w:p>
            <w:pPr>
              <w:pStyle w:val="Compact"/>
            </w:pPr>
            <w:r>
              <w:t xml:space="preserve">0,013</w:t>
            </w:r>
          </w:p>
        </w:tc>
        <w:tc>
          <w:tcPr/>
          <w:p>
            <w:pPr>
              <w:pStyle w:val="Compact"/>
            </w:pPr>
            <w:r>
              <w:t xml:space="preserve">23 175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0,635</w:t>
            </w:r>
          </w:p>
        </w:tc>
        <w:tc>
          <w:tcPr/>
          <w:p>
            <w:pPr>
              <w:pStyle w:val="Compact"/>
            </w:pPr>
            <w:r>
              <w:t xml:space="preserve">0,044</w:t>
            </w:r>
          </w:p>
        </w:tc>
        <w:tc>
          <w:tcPr/>
          <w:p>
            <w:pPr>
              <w:pStyle w:val="Compact"/>
            </w:pPr>
            <w:r>
              <w:t xml:space="preserve">3 123</w:t>
            </w:r>
          </w:p>
        </w:tc>
      </w:tr>
    </w:tbl>
    <w:p>
      <w:pPr>
        <w:pStyle w:val="BodyText"/>
      </w:pPr>
      <w:r>
        <w:t xml:space="preserve">A nagyvállalatok hitele jobban BUBOR-hoz kötött, mint a KKV-ké</w:t>
      </w:r>
      <w:r>
        <w:t xml:space="preserve"> </w:t>
      </w:r>
      <w:r>
        <w:t xml:space="preserve">(feltehetően több a piaci alapú, kevesebb a támogatott hitel). Ez</w:t>
      </w:r>
      <w:r>
        <w:t xml:space="preserve"> </w:t>
      </w:r>
      <w:r>
        <w:rPr>
          <w:b/>
          <w:bCs/>
        </w:rPr>
        <w:t xml:space="preserve">lényegesen alacsonyabb</w:t>
      </w:r>
      <w:r>
        <w:t xml:space="preserve">, mint a</w:t>
      </w:r>
      <w:r>
        <w:t xml:space="preserve"> </w:t>
      </w:r>
      <w:r>
        <w:rPr>
          <w:rStyle w:val="VerbatimChar"/>
        </w:rPr>
        <w:t xml:space="preserve">.mod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 </w:t>
      </w:r>
      <w:r>
        <w:t xml:space="preserve">ágában dokumentált</w:t>
      </w:r>
      <w:r>
        <w:t xml:space="preserve"> </w:t>
      </w:r>
      <w:r>
        <w:rPr>
          <w:rStyle w:val="VerbatimChar"/>
        </w:rPr>
        <w:t xml:space="preserve">tbank_E/D=0,85</w:t>
      </w:r>
      <w:r>
        <w:t xml:space="preserve">,</w:t>
      </w:r>
      <w:r>
        <w:t xml:space="preserve"> </w:t>
      </w:r>
      <w:r>
        <w:rPr>
          <w:rStyle w:val="VerbatimChar"/>
        </w:rPr>
        <w:t xml:space="preserve">tbank_L=1,05</w:t>
      </w:r>
      <w:r>
        <w:t xml:space="preserve"> </w:t>
      </w:r>
      <w:r>
        <w:t xml:space="preserve">(</w:t>
      </w:r>
      <w:r>
        <w:t xml:space="preserve">“A16/F06 saját mérésünk”</w:t>
      </w:r>
      <w:r>
        <w:t xml:space="preserve"> </w:t>
      </w:r>
      <w:r>
        <w:t xml:space="preserve">hivatkozással)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mivel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CALIB26</w:t>
      </w:r>
      <w:r>
        <w:rPr>
          <w:b/>
          <w:bCs/>
        </w:rPr>
        <w:t xml:space="preserve">-beli érték egy dokumentált, indokolt csapat-mérés,</w:t>
      </w:r>
      <w:r>
        <w:rPr>
          <w:b/>
          <w:bCs/>
        </w:rPr>
        <w:t xml:space="preserve"> </w:t>
      </w:r>
      <w:r>
        <w:rPr>
          <w:b/>
          <w:bCs/>
        </w:rPr>
        <w:t xml:space="preserve">nem puszta becslés, azt tekintjük mérvadóbb referenciapontnak.</w:t>
      </w:r>
    </w:p>
    <w:p>
      <w:pPr>
        <w:pStyle w:val="BodyText"/>
      </w:pPr>
      <w:r>
        <w:rPr>
          <w:b/>
          <w:bCs/>
        </w:rPr>
        <w:t xml:space="preserve">Megbízhatóság: ALACSONY / CSAK IRÁNYJELZŐ.</w:t>
      </w:r>
      <w:r>
        <w:t xml:space="preserve"> </w:t>
      </w:r>
      <w:r>
        <w:t xml:space="preserve">Hat komoly korlát: (1)</w:t>
      </w:r>
      <w:r>
        <w:t xml:space="preserve"> </w:t>
      </w:r>
      <w:r>
        <w:t xml:space="preserve">nincs évhatás a regresszióban — a BUBOR csak évente változik, ezért a</w:t>
      </w:r>
      <w:r>
        <w:t xml:space="preserve"> </w:t>
      </w:r>
      <w:r>
        <w:t xml:space="preserve">cégFE+BUBOR specifikáció MINDEN évek-közötti mozgást a BUBOR-nak</w:t>
      </w:r>
      <w:r>
        <w:t xml:space="preserve"> </w:t>
      </w:r>
      <w:r>
        <w:t xml:space="preserve">tulajdonít; (2) gyakorlatilag egyetlen nagy sokk (2021→2023) hajtja az</w:t>
      </w:r>
      <w:r>
        <w:t xml:space="preserve"> </w:t>
      </w:r>
      <w:r>
        <w:t xml:space="preserve">azonosítást; (3) ez a hitelKAMAT szintje, nem a FELÁR; (4) 7,9%-os,</w:t>
      </w:r>
      <w:r>
        <w:t xml:space="preserve"> </w:t>
      </w:r>
      <w:r>
        <w:t xml:space="preserve">nem-véletlenszerű lefedettség; (5) a standard hiba nincs időbeli</w:t>
      </w:r>
      <w:r>
        <w:t xml:space="preserve"> </w:t>
      </w:r>
      <w:r>
        <w:t xml:space="preserve">klaszterezve, pszeudo-pontos; (6) a kamat (éves flow) és a hitelállomány</w:t>
      </w:r>
      <w:r>
        <w:t xml:space="preserve"> </w:t>
      </w:r>
      <w:r>
        <w:t xml:space="preserve">(mérlegfordulónapi állomány) nem ugyanarra az időpontra vonatkozik. A</w:t>
      </w:r>
      <w:r>
        <w:t xml:space="preserve"> </w:t>
      </w:r>
      <w:r>
        <w:t xml:space="preserve">rendes becsléshez a hiányzó</w:t>
      </w:r>
      <w:r>
        <w:t xml:space="preserve"> </w:t>
      </w:r>
      <w:r>
        <w:rPr>
          <w:b/>
          <w:bCs/>
        </w:rPr>
        <w:t xml:space="preserve">MNB vállalati kamatstatisztika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data-index.md</w:t>
      </w:r>
      <w:r>
        <w:t xml:space="preserve"> </w:t>
      </w:r>
      <w:r>
        <w:t xml:space="preserve">szerint</w:t>
      </w:r>
      <w:r>
        <w:t xml:space="preserve"> </w:t>
      </w:r>
      <w:r>
        <w:t xml:space="preserve">“letöltendő”</w:t>
      </w:r>
      <w:r>
        <w:t xml:space="preserve"> </w:t>
      </w:r>
      <w:r>
        <w:t xml:space="preserve">státuszú) kellene, ami</w:t>
      </w:r>
      <w:r>
        <w:t xml:space="preserve"> </w:t>
      </w:r>
      <w:r>
        <w:t xml:space="preserve">bank-szintű, méret szerinti tényleges szerződéses kamatokat ad.</w:t>
      </w:r>
    </w:p>
    <w:p>
      <w:r>
        <w:pict>
          <v:rect style="width:0;height:1.5pt" o:hralign="center" o:hrstd="t" o:hr="t"/>
        </w:pict>
      </w:r>
    </w:p>
    <w:bookmarkEnd w:id="16"/>
    <w:bookmarkStart w:id="17" w:name="X0e2f51cf6c6573edf5f8c017f79d421f0f0429f"/>
    <w:p>
      <w:pPr>
        <w:pStyle w:val="Heading2"/>
      </w:pPr>
      <w:r>
        <w:t xml:space="preserve">8. zsov — a szuverén felár hatása a teljes gazdaság kockázatmentes kamatára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 szuverén felár csökkenése mennyivel húzza le az EGÉSZ</w:t>
      </w:r>
      <w:r>
        <w:t xml:space="preserve"> </w:t>
      </w:r>
      <w:r>
        <w:t xml:space="preserve">gazdaság kockázatmentes kamatszintjét (nem csak a vállalati felárat).</w:t>
      </w:r>
    </w:p>
    <w:p>
      <w:pPr>
        <w:pStyle w:val="BodyText"/>
      </w:pPr>
      <w:r>
        <w:rPr>
          <w:b/>
          <w:bCs/>
        </w:rPr>
        <w:t xml:space="preserve">Szerep a modellben.</w:t>
      </w:r>
      <w:r>
        <w:t xml:space="preserve"> </w:t>
      </w:r>
      <w:r>
        <w:t xml:space="preserve">Az euró-rezsim monetáris zárásában:</w:t>
      </w:r>
    </w:p>
    <w:p>
      <w:pPr>
        <w:pStyle w:val="BlockText"/>
      </w:pPr>
      <w:r>
        <w:rPr>
          <w:i/>
          <w:iCs/>
        </w:rPr>
        <w:t xml:space="preserve">(1−uni)·(r − gam_i·r(−1) − (1−gam_i)·phi_pi·infl − eps_r) + uni·(r − zsov·sov + nu_uni·bstar) = 0</w:t>
      </w:r>
      <w:r>
        <w:t xml:space="preserve"> </w:t>
      </w:r>
      <w:r>
        <w:rPr>
          <w:i/>
          <w:iCs/>
        </w:rPr>
        <w:t xml:space="preserve">(1−uni)·(r − dep(+1) + nu_b·bstar − zsov·sov − e_pr_ar) + uni·dep = 0</w:t>
      </w:r>
    </w:p>
    <w:p>
      <w:pPr>
        <w:pStyle w:val="FirstParagraph"/>
      </w:pPr>
      <w:r>
        <w:rPr>
          <w:b/>
          <w:bCs/>
        </w:rPr>
        <w:t xml:space="preserve">Kiszámítás módja / becslési kísérlet.</w:t>
      </w:r>
      <w:r>
        <w:t xml:space="preserve"> </w:t>
      </w:r>
      <w:r>
        <w:rPr>
          <w:rStyle w:val="VerbatimChar"/>
        </w:rPr>
        <w:t xml:space="preserve">zsov</w:t>
      </w:r>
      <w:r>
        <w:t xml:space="preserve"> </w:t>
      </w:r>
      <w:r>
        <w:t xml:space="preserve">~ szuverén felár</w:t>
      </w:r>
      <w:r>
        <w:t xml:space="preserve"> </w:t>
      </w:r>
      <w:r>
        <w:t xml:space="preserve">regresszió évenkénti szinten (</w:t>
      </w:r>
      <w:r>
        <w:rPr>
          <w:rStyle w:val="VerbatimChar"/>
        </w:rPr>
        <w:t xml:space="preserve">n=9!</w:t>
      </w:r>
      <w:r>
        <w:t xml:space="preserve">) — meredekség 3,48, korreláció</w:t>
      </w:r>
      <w:r>
        <w:t xml:space="preserve"> </w:t>
      </w:r>
      <w:r>
        <w:t xml:space="preserve">0,88, de ez csak 9 éves adatponton alapul, gyakorlatilag két, szorosan</w:t>
      </w:r>
      <w:r>
        <w:t xml:space="preserve"> </w:t>
      </w:r>
      <w:r>
        <w:t xml:space="preserve">összefüggő idősor összevetése,</w:t>
      </w:r>
      <w:r>
        <w:t xml:space="preserve"> </w:t>
      </w:r>
      <w:r>
        <w:rPr>
          <w:b/>
          <w:bCs/>
        </w:rPr>
        <w:t xml:space="preserve">nem valódi becslés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t xml:space="preserve">Nem javasolt semmilyen formában felhasználásra a saját</w:t>
      </w:r>
      <w:r>
        <w:t xml:space="preserve"> </w:t>
      </w:r>
      <w:r>
        <w:t xml:space="preserve">becslés, csak illusztrációként. Az alapértelmezés (technikai/érzékenységi</w:t>
      </w:r>
      <w:r>
        <w:t xml:space="preserve"> </w:t>
      </w:r>
      <w:r>
        <w:t xml:space="preserve">sáv,</w:t>
      </w:r>
      <w:r>
        <w:t xml:space="preserve"> </w:t>
      </w:r>
      <w:r>
        <w:rPr>
          <w:rStyle w:val="VerbatimChar"/>
        </w:rPr>
        <w:t xml:space="preserve">0,5/1,5/2,5</w:t>
      </w:r>
      <w:r>
        <w:t xml:space="preserve">) marad.</w:t>
      </w:r>
    </w:p>
    <w:p>
      <w:pPr>
        <w:pStyle w:val="BodyText"/>
      </w:pPr>
      <w:r>
        <w:rPr>
          <w:b/>
          <w:bCs/>
        </w:rPr>
        <w:t xml:space="preserve">Megbízhatóság: NYITOTT.</w:t>
      </w:r>
      <w:r>
        <w:t xml:space="preserve"> </w:t>
      </w:r>
      <w:r>
        <w:t xml:space="preserve">Ugyanaz az azonosítási korlát érinti, mint</w:t>
      </w:r>
      <w:r>
        <w:t xml:space="preserve"> </w:t>
      </w:r>
      <w:r>
        <w:rPr>
          <w:rStyle w:val="VerbatimChar"/>
        </w:rPr>
        <w:t xml:space="preserve">tsov_j</w:t>
      </w:r>
      <w:r>
        <w:t xml:space="preserve">-t (BUBOR-kollinearitás), és emellett</w:t>
      </w:r>
      <w:r>
        <w:t xml:space="preserve"> </w:t>
      </w:r>
      <w:r>
        <w:rPr>
          <w:rStyle w:val="VerbatimChar"/>
        </w:rPr>
        <w:t xml:space="preserve">n=9</w:t>
      </w:r>
      <w:r>
        <w:t xml:space="preserve"> </w:t>
      </w:r>
      <w:r>
        <w:t xml:space="preserve">extrém alacsony</w:t>
      </w:r>
      <w:r>
        <w:t xml:space="preserve"> </w:t>
      </w:r>
      <w:r>
        <w:t xml:space="preserve">mintaelemszám.</w:t>
      </w:r>
    </w:p>
    <w:p>
      <w:r>
        <w:br w:type="page"/>
      </w:r>
    </w:p>
    <w:bookmarkEnd w:id="17"/>
    <w:bookmarkEnd w:id="18"/>
    <w:bookmarkStart w:id="21" w:name="iii.-vertikális-kereskedelmi-lánc"/>
    <w:p>
      <w:pPr>
        <w:pStyle w:val="Heading1"/>
      </w:pPr>
      <w:r>
        <w:t xml:space="preserve">III. Vertikális / kereskedelmi lánc</w:t>
      </w:r>
    </w:p>
    <w:bookmarkStart w:id="19" w:name="X05c293d4d940c8940d8dec63f4c52173f5fb032"/>
    <w:p>
      <w:pPr>
        <w:pStyle w:val="Heading2"/>
      </w:pPr>
      <w:r>
        <w:t xml:space="preserve">9. s_kkv — a hazai KKV-beszállítói input súlya az exportőr költségében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Az</w:t>
      </w:r>
      <w:r>
        <w:t xml:space="preserve"> </w:t>
      </w:r>
      <w:r>
        <w:t xml:space="preserve">“Audi-kérdés”</w:t>
      </w:r>
      <w:r>
        <w:t xml:space="preserve"> </w:t>
      </w:r>
      <w:r>
        <w:t xml:space="preserve">számszerű megfelelője: mennyire épül a</w:t>
      </w:r>
      <w:r>
        <w:t xml:space="preserve"> </w:t>
      </w:r>
      <w:r>
        <w:t xml:space="preserve">magyar exportszektor magyar-tulajdonú KKV-beszállítói láncra.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mc_x_rel = (1−s_kkv)·(wx_E·mc_E + wx_D·mc_D + wx_L·mc_L) + s_kkv·mc_d − px</w:t>
      </w:r>
      <w:r>
        <w:t xml:space="preserve"> </w:t>
      </w:r>
      <w:r>
        <w:rPr>
          <w:i/>
          <w:iCs/>
        </w:rPr>
        <w:t xml:space="preserve">h_dx = xx − mu_vert·s_kkv·(mc_d − mc_x_rel)</w:t>
      </w:r>
    </w:p>
    <w:p>
      <w:pPr>
        <w:pStyle w:val="FirstParagraph"/>
      </w:pPr>
      <w:r>
        <w:rPr>
          <w:b/>
          <w:bCs/>
        </w:rPr>
        <w:t xml:space="preserve">Kiszámítás módja / becslési kísérlet.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explicit</w:t>
      </w:r>
      <w:r>
        <w:t xml:space="preserve"> </w:t>
      </w:r>
      <w:r>
        <w:t xml:space="preserve">figyelmezteti, hogy az IO-tábla-alapú mérés (≈5–6%) gyanús — a</w:t>
      </w:r>
      <w:r>
        <w:t xml:space="preserve"> </w:t>
      </w:r>
      <w:r>
        <w:t xml:space="preserve">projektben ez a 6-szor dokumentált hibamintázat egyike (horgonyzatlan</w:t>
      </w:r>
      <w:r>
        <w:t xml:space="preserve"> </w:t>
      </w:r>
      <w:r>
        <w:t xml:space="preserve">paraméter viszi a fő szektorális eredményt). Két külső esettanulmányt</w:t>
      </w:r>
      <w:r>
        <w:t xml:space="preserve"> </w:t>
      </w:r>
      <w:r>
        <w:t xml:space="preserve">találtunk:</w:t>
      </w:r>
      <w:r>
        <w:t xml:space="preserve"> </w:t>
      </w:r>
      <w:r>
        <w:rPr>
          <w:b/>
          <w:bCs/>
        </w:rPr>
        <w:t xml:space="preserve">Czakó (2014, Audi Hungaria)</w:t>
      </w:r>
      <w:r>
        <w:t xml:space="preserve">: magyar-tulajdonú beszállítók</w:t>
      </w:r>
      <w:r>
        <w:t xml:space="preserve"> </w:t>
      </w:r>
      <w:r>
        <w:t xml:space="preserve">aránya</w:t>
      </w:r>
      <w:r>
        <w:t xml:space="preserve"> </w:t>
      </w:r>
      <w:r>
        <w:rPr>
          <w:b/>
          <w:bCs/>
        </w:rPr>
        <w:t xml:space="preserve">4%</w:t>
      </w:r>
      <w:r>
        <w:t xml:space="preserve"> </w:t>
      </w:r>
      <w:r>
        <w:t xml:space="preserve">— ez megegyezik az IO-becsléssel.</w:t>
      </w:r>
      <w:r>
        <w:t xml:space="preserve"> </w:t>
      </w:r>
      <w:r>
        <w:rPr>
          <w:b/>
          <w:bCs/>
        </w:rPr>
        <w:t xml:space="preserve">Natsuda–Sass–Csonka</w:t>
      </w:r>
      <w:r>
        <w:rPr>
          <w:b/>
          <w:bCs/>
        </w:rPr>
        <w:t xml:space="preserve"> </w:t>
      </w:r>
      <w:r>
        <w:rPr>
          <w:b/>
          <w:bCs/>
        </w:rPr>
        <w:t xml:space="preserve">(2022, Magyar Suzuki)</w:t>
      </w:r>
      <w:r>
        <w:t xml:space="preserve">: a globális beszállítói bázisban 11,3%, de a</w:t>
      </w:r>
      <w:r>
        <w:t xml:space="preserve"> </w:t>
      </w:r>
      <w:r>
        <w:t xml:space="preserve">ténylegesen</w:t>
      </w:r>
      <w:r>
        <w:t xml:space="preserve"> </w:t>
      </w:r>
      <w:r>
        <w:rPr>
          <w:b/>
          <w:bCs/>
        </w:rPr>
        <w:t xml:space="preserve">Magyarországon located</w:t>
      </w:r>
      <w:r>
        <w:t xml:space="preserve"> </w:t>
      </w:r>
      <w:r>
        <w:t xml:space="preserve">beszállítók körében</w:t>
      </w:r>
      <w:r>
        <w:t xml:space="preserve"> </w:t>
      </w:r>
      <w:r>
        <w:rPr>
          <w:b/>
          <w:bCs/>
        </w:rPr>
        <w:t xml:space="preserve">37,5%</w:t>
      </w:r>
      <w:r>
        <w:t xml:space="preserve"> </w:t>
      </w:r>
      <w:r>
        <w:t xml:space="preserve">(27/72) — ami koncepcionálisan közelebb áll a modell</w:t>
      </w:r>
      <w:r>
        <w:t xml:space="preserve"> </w:t>
      </w:r>
      <w:r>
        <w:t xml:space="preserve">“hazai KKV-</w:t>
      </w:r>
      <w:r>
        <w:t xml:space="preserve"> </w:t>
      </w:r>
      <w:r>
        <w:t xml:space="preserve">beszállító”</w:t>
      </w:r>
      <w:r>
        <w:t xml:space="preserve"> </w:t>
      </w:r>
      <w:r>
        <w:t xml:space="preserve">fogalmához.</w:t>
      </w:r>
    </w:p>
    <w:p>
      <w:pPr>
        <w:pStyle w:val="BodyText"/>
      </w:pPr>
      <w:r>
        <w:rPr>
          <w:b/>
          <w:bCs/>
        </w:rPr>
        <w:t xml:space="preserve">Önkritika, VISSZAVONVA (2026-09-23):</w:t>
      </w:r>
      <w:r>
        <w:t xml:space="preserve"> </w:t>
      </w:r>
      <w:r>
        <w:t xml:space="preserve">a 37,5%-os szám kiválasztása</w:t>
      </w:r>
      <w:r>
        <w:t xml:space="preserve"> </w:t>
      </w:r>
      <w:r>
        <w:t xml:space="preserve">gyanúsan</w:t>
      </w:r>
      <w:r>
        <w:t xml:space="preserve"> </w:t>
      </w:r>
      <w:r>
        <w:t xml:space="preserve">“kényelmes”</w:t>
      </w:r>
      <w:r>
        <w:t xml:space="preserve"> </w:t>
      </w:r>
      <w:r>
        <w:t xml:space="preserve">volt — ugyanabból a forrástáblából legalább három</w:t>
      </w:r>
      <w:r>
        <w:t xml:space="preserve"> </w:t>
      </w:r>
      <w:r>
        <w:t xml:space="preserve">hányados képezhető (11,3% / 30,1% / 37,5%), és pont az esett legközelebb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-beli</w:t>
      </w:r>
      <w:r>
        <w:t xml:space="preserve"> </w:t>
      </w:r>
      <w:r>
        <w:rPr>
          <w:rStyle w:val="VerbatimChar"/>
        </w:rPr>
        <w:t xml:space="preserve">0,363</w:t>
      </w:r>
      <w:r>
        <w:t xml:space="preserve">-hoz. Ez klasszikus post-hoc megerősítési</w:t>
      </w:r>
      <w:r>
        <w:t xml:space="preserve"> </w:t>
      </w:r>
      <w:r>
        <w:t xml:space="preserve">torzítás veszélye, amit nem lehet kizárni — a korábbi</w:t>
      </w:r>
      <w:r>
        <w:t xml:space="preserve"> </w:t>
      </w:r>
      <w:r>
        <w:t xml:space="preserve">“két független</w:t>
      </w:r>
      <w:r>
        <w:t xml:space="preserve"> </w:t>
      </w:r>
      <w:r>
        <w:t xml:space="preserve">forrás egybevágó megerősítése”</w:t>
      </w:r>
      <w:r>
        <w:t xml:space="preserve"> </w:t>
      </w:r>
      <w:r>
        <w:t xml:space="preserve">állítás visszavonva.</w:t>
      </w:r>
    </w:p>
    <w:p>
      <w:pPr>
        <w:pStyle w:val="BodyText"/>
      </w:pPr>
      <w:r>
        <w:rPr>
          <w:b/>
          <w:bCs/>
        </w:rPr>
        <w:t xml:space="preserve">Szükséges inputok / script.</w:t>
      </w:r>
      <w:r>
        <w:t xml:space="preserve"> </w:t>
      </w:r>
      <w:r>
        <w:t xml:space="preserve">Nincs saját Opten-számítás (Opten</w:t>
      </w:r>
      <w:r>
        <w:t xml:space="preserve"> </w:t>
      </w:r>
      <w:r>
        <w:t xml:space="preserve">cégszintű pénzügyi panel nem tud tényleges vállalatközi</w:t>
      </w:r>
      <w:r>
        <w:t xml:space="preserve"> </w:t>
      </w:r>
      <w:r>
        <w:t xml:space="preserve">tranzakciós/hálózati adatot adni).</w:t>
      </w:r>
      <w:r>
        <w:t xml:space="preserve"> </w:t>
      </w:r>
      <w:r>
        <w:rPr>
          <w:b/>
          <w:bCs/>
        </w:rPr>
        <w:t xml:space="preserve">Konkrét, létező adatforrás</w:t>
      </w:r>
      <w:r>
        <w:rPr>
          <w:b/>
          <w:bCs/>
        </w:rPr>
        <w:t xml:space="preserve"> </w:t>
      </w:r>
      <w:r>
        <w:rPr>
          <w:b/>
          <w:bCs/>
        </w:rPr>
        <w:t xml:space="preserve">találva:</w:t>
      </w:r>
      <w:r>
        <w:t xml:space="preserve"> </w:t>
      </w:r>
      <w:r>
        <w:rPr>
          <w:b/>
          <w:bCs/>
        </w:rPr>
        <w:t xml:space="preserve">Borsós, A. – Stancsics, M.:</w:t>
      </w:r>
      <w:r>
        <w:rPr>
          <w:b/>
          <w:bCs/>
        </w:rPr>
        <w:t xml:space="preserve"> </w:t>
      </w:r>
      <w:r>
        <w:rPr>
          <w:b/>
          <w:bCs/>
        </w:rPr>
        <w:t xml:space="preserve">“Unfolding the Hidden Structure</w:t>
      </w:r>
      <w:r>
        <w:rPr>
          <w:b/>
          <w:bCs/>
        </w:rPr>
        <w:t xml:space="preserve"> </w:t>
      </w:r>
      <w:r>
        <w:rPr>
          <w:b/>
          <w:bCs/>
        </w:rPr>
        <w:t xml:space="preserve">of the Hungarian Multi-Layer Firm Network.”</w:t>
      </w:r>
      <w:r>
        <w:rPr>
          <w:b/>
          <w:bCs/>
        </w:rPr>
        <w:t xml:space="preserve"> </w:t>
      </w:r>
      <w:r>
        <w:rPr>
          <w:b/>
          <w:bCs/>
        </w:rPr>
        <w:t xml:space="preserve">MNB Occasional Papers, OP</w:t>
      </w:r>
      <w:r>
        <w:rPr>
          <w:b/>
          <w:bCs/>
        </w:rPr>
        <w:t xml:space="preserve"> </w:t>
      </w:r>
      <w:r>
        <w:rPr>
          <w:b/>
          <w:bCs/>
        </w:rPr>
        <w:t xml:space="preserve">139</w:t>
      </w:r>
      <w:r>
        <w:t xml:space="preserve"> </w:t>
      </w:r>
      <w:r>
        <w:t xml:space="preserve">— NAV ÁFA-adatszolgáltatásból származó, cégek közötti</w:t>
      </w:r>
      <w:r>
        <w:t xml:space="preserve"> </w:t>
      </w:r>
      <w:r>
        <w:t xml:space="preserve">szállító-vevő kapcsolati hálót dolgoz fel (2014–2017, ≥1M Ft/év</w:t>
      </w:r>
      <w:r>
        <w:t xml:space="preserve"> </w:t>
      </w:r>
      <w:r>
        <w:t xml:space="preserve">tranzakciók). Egy szerző (Borsós András) az MNB Pénzügyi</w:t>
      </w:r>
      <w:r>
        <w:t xml:space="preserve"> </w:t>
      </w:r>
      <w:r>
        <w:t xml:space="preserve">rendszerelemzés területén dolgozik — ez egy létező, aktívan karbantartott</w:t>
      </w:r>
      <w:r>
        <w:t xml:space="preserve"> </w:t>
      </w:r>
      <w:r>
        <w:t xml:space="preserve">MNB-adatbázis, nem új adatgyűjtés.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rPr>
          <w:b/>
          <w:bCs/>
        </w:rPr>
        <w:t xml:space="preserve">Nyitott</w:t>
      </w:r>
      <w:r>
        <w:t xml:space="preserve"> </w:t>
      </w:r>
      <w:r>
        <w:t xml:space="preserve">— sem a 0,05 (</w:t>
      </w:r>
      <w:r>
        <w:rPr>
          <w:rStyle w:val="VerbatimChar"/>
        </w:rPr>
        <w:t xml:space="preserve">.mod</w:t>
      </w:r>
      <w:r>
        <w:t xml:space="preserve"> </w:t>
      </w:r>
      <w:r>
        <w:t xml:space="preserve">alapértelmezés), sem a</w:t>
      </w:r>
      <w:r>
        <w:t xml:space="preserve"> </w:t>
      </w:r>
      <w:r>
        <w:t xml:space="preserve">0,363 (</w:t>
      </w:r>
      <w:r>
        <w:rPr>
          <w:rStyle w:val="VerbatimChar"/>
        </w:rPr>
        <w:t xml:space="preserve">CALIB26</w:t>
      </w:r>
      <w:r>
        <w:t xml:space="preserve">, saját szava szerint FELSŐ korlát, fordított</w:t>
      </w:r>
      <w:r>
        <w:t xml:space="preserve"> </w:t>
      </w:r>
      <w:r>
        <w:t xml:space="preserve">halmozódási torzítás miatt) nem tekinthető megerősített pontbecslésnek.</w:t>
      </w:r>
    </w:p>
    <w:p>
      <w:pPr>
        <w:pStyle w:val="BodyText"/>
      </w:pPr>
      <w:r>
        <w:rPr>
          <w:b/>
          <w:bCs/>
        </w:rPr>
        <w:t xml:space="preserve">Megbízhatóság: ALACSONY / NYITOTT, DE VAN KONKRÉT KÖVETKEZŐ LÉPÉS.</w:t>
      </w:r>
      <w:r>
        <w:t xml:space="preserve"> </w:t>
      </w:r>
      <w:r>
        <w:t xml:space="preserve">A</w:t>
      </w:r>
      <w:r>
        <w:t xml:space="preserve"> </w:t>
      </w:r>
      <w:r>
        <w:t xml:space="preserve">csapat prioritási listáján</w:t>
      </w:r>
      <w:r>
        <w:t xml:space="preserve"> </w:t>
      </w:r>
      <w:r>
        <w:rPr>
          <w:b/>
          <w:bCs/>
        </w:rPr>
        <w:t xml:space="preserve">1. helyen</w:t>
      </w:r>
      <w:r>
        <w:t xml:space="preserve"> </w:t>
      </w:r>
      <w:r>
        <w:t xml:space="preserve">áll: (a) az OP 139 tanulmány</w:t>
      </w:r>
      <w:r>
        <w:t xml:space="preserve"> </w:t>
      </w:r>
      <w:r>
        <w:t xml:space="preserve">elolvasása, hátha már közöl közvetlenül használható aggregált mutatót;</w:t>
      </w:r>
      <w:r>
        <w:t xml:space="preserve"> </w:t>
      </w:r>
      <w:r>
        <w:t xml:space="preserve">(b) ha nem, MNB-s kapcsolatfelvétel export-KKV/hazai-KKV szegmensre</w:t>
      </w:r>
      <w:r>
        <w:t xml:space="preserve"> </w:t>
      </w:r>
      <w:r>
        <w:t xml:space="preserve">bontott lekérdezésért.</w:t>
      </w:r>
    </w:p>
    <w:p>
      <w:r>
        <w:pict>
          <v:rect style="width:0;height:1.5pt" o:hralign="center" o:hrstd="t" o:hr="t"/>
        </w:pict>
      </w:r>
    </w:p>
    <w:bookmarkEnd w:id="19"/>
    <w:bookmarkStart w:id="20" w:name="X908bfa8fa0e88aa656b142e4814baf908296c5e"/>
    <w:p>
      <w:pPr>
        <w:pStyle w:val="Heading2"/>
      </w:pPr>
      <w:r>
        <w:t xml:space="preserve">10. mu_vert — a KKV-beszállítói költségváltozás begyűrűzése az exportőr keresletébe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Ha a hazai beszállító olcsóbbá válik, az exportőr mennyire</w:t>
      </w:r>
      <w:r>
        <w:t xml:space="preserve"> </w:t>
      </w:r>
      <w:r>
        <w:t xml:space="preserve">fordul felé több megrendeléssel.</w:t>
      </w:r>
    </w:p>
    <w:p>
      <w:pPr>
        <w:pStyle w:val="BodyText"/>
      </w:pPr>
      <w:r>
        <w:rPr>
          <w:b/>
          <w:bCs/>
        </w:rPr>
        <w:t xml:space="preserve">Szerep a modellben.</w:t>
      </w:r>
      <w:r>
        <w:t xml:space="preserve"> </w:t>
      </w:r>
      <w:r>
        <w:t xml:space="preserve">Lásd a</w:t>
      </w:r>
      <w:r>
        <w:t xml:space="preserve"> </w:t>
      </w:r>
      <w:r>
        <w:rPr>
          <w:rStyle w:val="VerbatimChar"/>
        </w:rPr>
        <w:t xml:space="preserve">s_kkv</w:t>
      </w:r>
      <w:r>
        <w:t xml:space="preserve">-nál idézett</w:t>
      </w:r>
      <w:r>
        <w:t xml:space="preserve"> </w:t>
      </w:r>
      <w:r>
        <w:rPr>
          <w:rStyle w:val="VerbatimChar"/>
        </w:rPr>
        <w:t xml:space="preserve">h_dx</w:t>
      </w:r>
      <w:r>
        <w:t xml:space="preserve"> </w:t>
      </w:r>
      <w:r>
        <w:t xml:space="preserve">egyenletet.</w:t>
      </w:r>
    </w:p>
    <w:p>
      <w:pPr>
        <w:pStyle w:val="BodyText"/>
      </w:pPr>
      <w:r>
        <w:rPr>
          <w:b/>
          <w:bCs/>
        </w:rPr>
        <w:t xml:space="preserve">Kiszámítás módja.</w:t>
      </w:r>
      <w:r>
        <w:t xml:space="preserve"> </w:t>
      </w:r>
      <w:r>
        <w:t xml:space="preserve">Nincs saját Opten-számítás — ugyanaz az adatkorlát</w:t>
      </w:r>
      <w:r>
        <w:t xml:space="preserve"> </w:t>
      </w:r>
      <w:r>
        <w:t xml:space="preserve">érinti, mint</w:t>
      </w:r>
      <w:r>
        <w:t xml:space="preserve"> </w:t>
      </w:r>
      <w:r>
        <w:rPr>
          <w:rStyle w:val="VerbatimChar"/>
        </w:rPr>
        <w:t xml:space="preserve">s_kkv</w:t>
      </w:r>
      <w:r>
        <w:t xml:space="preserve">-t (kellene a cégek közötti tranzakciós hálózat).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rPr>
          <w:rStyle w:val="VerbatimChar"/>
        </w:rPr>
        <w:t xml:space="preserve">0,50</w:t>
      </w:r>
      <w:r>
        <w:t xml:space="preserve"> </w:t>
      </w:r>
      <w:r>
        <w:t xml:space="preserve">(</w:t>
      </w:r>
      <w:r>
        <w:rPr>
          <w:rStyle w:val="VerbatimChar"/>
        </w:rPr>
        <w:t xml:space="preserve">.mod</w:t>
      </w:r>
      <w:r>
        <w:t xml:space="preserve"> </w:t>
      </w:r>
      <w:r>
        <w:t xml:space="preserve">alapértelmezés) marad — nincs semmilyen</w:t>
      </w:r>
      <w:r>
        <w:t xml:space="preserve"> </w:t>
      </w:r>
      <w:r>
        <w:t xml:space="preserve">empirikus vagy szakirodalmi forrás, ami módosítást indokolna.</w:t>
      </w:r>
    </w:p>
    <w:p>
      <w:pPr>
        <w:pStyle w:val="BodyText"/>
      </w:pPr>
      <w:r>
        <w:rPr>
          <w:b/>
          <w:bCs/>
        </w:rPr>
        <w:t xml:space="preserve">Megbízhatóság: ALACSONY / NYITOTT.</w:t>
      </w:r>
      <w:r>
        <w:t xml:space="preserve"> </w:t>
      </w:r>
      <w:r>
        <w:t xml:space="preserve">Ugyanaz a Borsós–Stancsics (MNB</w:t>
      </w:r>
      <w:r>
        <w:t xml:space="preserve"> </w:t>
      </w:r>
      <w:r>
        <w:t xml:space="preserve">OP 139) hálózati adat elvben erre is választ adna, ha hozzáférhető —</w:t>
      </w:r>
      <w:r>
        <w:t xml:space="preserve"> </w:t>
      </w:r>
      <w:r>
        <w:t xml:space="preserve">lásd</w:t>
      </w:r>
      <w:r>
        <w:t xml:space="preserve"> </w:t>
      </w:r>
      <w:r>
        <w:rPr>
          <w:rStyle w:val="VerbatimChar"/>
        </w:rPr>
        <w:t xml:space="preserve">s_kkv</w:t>
      </w:r>
      <w:r>
        <w:t xml:space="preserve"> </w:t>
      </w:r>
      <w:r>
        <w:t xml:space="preserve">fent, ugyanaz a 1. prioritású teendő.</w:t>
      </w:r>
    </w:p>
    <w:p>
      <w:r>
        <w:br w:type="page"/>
      </w:r>
    </w:p>
    <w:bookmarkEnd w:id="20"/>
    <w:bookmarkEnd w:id="21"/>
    <w:bookmarkStart w:id="28" w:name="Xc20d238cc53a4fb9dbcaed0367339ec56b99b7f"/>
    <w:p>
      <w:pPr>
        <w:pStyle w:val="Heading1"/>
      </w:pPr>
      <w:r>
        <w:t xml:space="preserve">IV. Háztartási, technológiai és tisztán irodalmi horgonyok</w:t>
      </w:r>
    </w:p>
    <w:bookmarkStart w:id="22" w:name="X7295101f1bc44bbaea604fc56d21b0a4912932c"/>
    <w:p>
      <w:pPr>
        <w:pStyle w:val="Heading2"/>
      </w:pPr>
      <w:r>
        <w:t xml:space="preserve">11. om_no — kézről szájra élő (nem-Ricardiánus) háztartások aránya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 háztartások hányada, akiknek nincs megtakarítása és</w:t>
      </w:r>
      <w:r>
        <w:t xml:space="preserve"> </w:t>
      </w:r>
      <w:r>
        <w:t xml:space="preserve">nem fér hitelhez, ezért a fogyasztásuk a folyó jövedelmüket követi.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c_no = w + ll</w:t>
      </w:r>
      <w:r>
        <w:t xml:space="preserve"> </w:t>
      </w:r>
      <w:r>
        <w:rPr>
          <w:i/>
          <w:iCs/>
        </w:rPr>
        <w:t xml:space="preserve">c = (1−om_no)·c_o + om_no·c_no</w:t>
      </w:r>
    </w:p>
    <w:p>
      <w:pPr>
        <w:pStyle w:val="FirstParagraph"/>
      </w:pPr>
      <w:r>
        <w:rPr>
          <w:b/>
          <w:bCs/>
        </w:rPr>
        <w:t xml:space="preserve">Kiszámítás módja / becslési kísérlet.</w:t>
      </w:r>
      <w:r>
        <w:t xml:space="preserve"> </w:t>
      </w:r>
      <w:r>
        <w:t xml:space="preserve">A jelenlegi</w:t>
      </w:r>
      <w:r>
        <w:t xml:space="preserve"> </w:t>
      </w:r>
      <w:r>
        <w:rPr>
          <w:rStyle w:val="VerbatimChar"/>
        </w:rPr>
        <w:t xml:space="preserve">0,25</w:t>
      </w:r>
      <w:r>
        <w:t xml:space="preserve"> </w:t>
      </w:r>
      <w:r>
        <w:t xml:space="preserve">a</w:t>
      </w:r>
      <w:r>
        <w:t xml:space="preserve"> </w:t>
      </w:r>
      <w:r>
        <w:t xml:space="preserve">Jakab–Világi (2008/9) survey-alapú becslése (kb. 2005–2007-es adaton).</w:t>
      </w:r>
      <w:r>
        <w:t xml:space="preserve"> </w:t>
      </w:r>
      <w:r>
        <w:t xml:space="preserve">Frissebb forrás:</w:t>
      </w:r>
      <w:r>
        <w:t xml:space="preserve"> </w:t>
      </w:r>
      <w:r>
        <w:rPr>
          <w:b/>
          <w:bCs/>
        </w:rPr>
        <w:t xml:space="preserve">Boldizsár, A. et al. (2016):</w:t>
      </w:r>
      <w:r>
        <w:rPr>
          <w:b/>
          <w:bCs/>
        </w:rPr>
        <w:t xml:space="preserve"> </w:t>
      </w:r>
      <w:r>
        <w:rPr>
          <w:b/>
          <w:bCs/>
        </w:rPr>
        <w:t xml:space="preserve">“A magyar háztartások</w:t>
      </w:r>
      <w:r>
        <w:rPr>
          <w:b/>
          <w:bCs/>
        </w:rPr>
        <w:t xml:space="preserve"> </w:t>
      </w:r>
      <w:r>
        <w:rPr>
          <w:b/>
          <w:bCs/>
        </w:rPr>
        <w:t xml:space="preserve">vagyoni helyzete a HFCS felmérés alapján.”</w:t>
      </w:r>
      <w:r>
        <w:rPr>
          <w:b/>
          <w:bCs/>
        </w:rPr>
        <w:t xml:space="preserve"> </w:t>
      </w:r>
      <w:r>
        <w:rPr>
          <w:b/>
          <w:bCs/>
        </w:rPr>
        <w:t xml:space="preserve">Hitelintézeti Szemle, 15(4).</w:t>
      </w:r>
      <w:r>
        <w:t xml:space="preserve"> </w:t>
      </w:r>
      <w:r>
        <w:t xml:space="preserve">— a 2014-es HFCS-hullám szerint a magyar háztartások</w:t>
      </w:r>
      <w:r>
        <w:t xml:space="preserve"> </w:t>
      </w:r>
      <w:r>
        <w:rPr>
          <w:b/>
          <w:bCs/>
        </w:rPr>
        <w:t xml:space="preserve">kb. 40%-ának</w:t>
      </w:r>
      <w:r>
        <w:rPr>
          <w:b/>
          <w:bCs/>
        </w:rPr>
        <w:t xml:space="preserve"> </w:t>
      </w:r>
      <w:r>
        <w:rPr>
          <w:b/>
          <w:bCs/>
        </w:rPr>
        <w:t xml:space="preserve">nincs számottevő pénzügyi vagyona</w:t>
      </w:r>
      <w:r>
        <w:t xml:space="preserve"> </w:t>
      </w:r>
      <w:r>
        <w:t xml:space="preserve">(Gini=0,82, a vagyon 80%-a a</w:t>
      </w:r>
      <w:r>
        <w:t xml:space="preserve"> </w:t>
      </w:r>
      <w:r>
        <w:t xml:space="preserve">háztartások 15%-ánál koncentrálódik).</w:t>
      </w:r>
    </w:p>
    <w:p>
      <w:pPr>
        <w:pStyle w:val="BodyText"/>
      </w:pPr>
      <w:r>
        <w:rPr>
          <w:b/>
          <w:bCs/>
        </w:rPr>
        <w:t xml:space="preserve">Fontos fogalmi korlát.</w:t>
      </w:r>
      <w:r>
        <w:t xml:space="preserve"> </w:t>
      </w:r>
      <w:r>
        <w:t xml:space="preserve">A</w:t>
      </w:r>
      <w:r>
        <w:t xml:space="preserve"> </w:t>
      </w:r>
      <w:r>
        <w:t xml:space="preserve">“nincs pénzügyi vagyona”</w:t>
      </w:r>
      <w:r>
        <w:t xml:space="preserve"> </w:t>
      </w:r>
      <w:r>
        <w:t xml:space="preserve">NEM azonos a</w:t>
      </w:r>
      <w:r>
        <w:t xml:space="preserve"> </w:t>
      </w:r>
      <w:r>
        <w:t xml:space="preserve">“kézről szájra él”</w:t>
      </w:r>
      <w:r>
        <w:t xml:space="preserve"> </w:t>
      </w:r>
      <w:r>
        <w:t xml:space="preserve">fogalommal — a HANK-irodalom (Kaplan–Violante 2014)</w:t>
      </w:r>
      <w:r>
        <w:t xml:space="preserve"> </w:t>
      </w:r>
      <w:r>
        <w:t xml:space="preserve">külön kezeli a</w:t>
      </w:r>
      <w:r>
        <w:t xml:space="preserve"> </w:t>
      </w:r>
      <w:r>
        <w:t xml:space="preserve">“szegény”</w:t>
      </w:r>
      <w:r>
        <w:t xml:space="preserve"> </w:t>
      </w:r>
      <w:r>
        <w:t xml:space="preserve">(nincs vagyon, nincs hitel sem) és</w:t>
      </w:r>
      <w:r>
        <w:t xml:space="preserve"> </w:t>
      </w:r>
      <w:r>
        <w:t xml:space="preserve">“gazdag”</w:t>
      </w:r>
      <w:r>
        <w:t xml:space="preserve"> </w:t>
      </w:r>
      <w:r>
        <w:t xml:space="preserve">(van vagyon, de illikvid, pl. ingatlan) hand-to-mouth háztartásokat. A</w:t>
      </w:r>
      <w:r>
        <w:t xml:space="preserve"> </w:t>
      </w:r>
      <w:r>
        <w:t xml:space="preserve">40% tehát felső becslés a</w:t>
      </w:r>
      <w:r>
        <w:t xml:space="preserve"> </w:t>
      </w:r>
      <w:r>
        <w:t xml:space="preserve">“szegény”</w:t>
      </w:r>
      <w:r>
        <w:t xml:space="preserve"> </w:t>
      </w:r>
      <w:r>
        <w:t xml:space="preserve">arányra, és alsó becslés a teljes</w:t>
      </w:r>
      <w:r>
        <w:t xml:space="preserve"> </w:t>
      </w:r>
      <w:r>
        <w:t xml:space="preserve">(szegény+gazdag) arányra.</w:t>
      </w:r>
    </w:p>
    <w:p>
      <w:pPr>
        <w:pStyle w:val="BodyText"/>
      </w:pPr>
      <w:r>
        <w:rPr>
          <w:b/>
          <w:bCs/>
        </w:rPr>
        <w:t xml:space="preserve">Eredmény — VISSZAVONT saját levezetés.</w:t>
      </w:r>
      <w:r>
        <w:t xml:space="preserve"> </w:t>
      </w:r>
      <w:r>
        <w:t xml:space="preserve">Egy korábbi javaslat</w:t>
      </w:r>
      <w:r>
        <w:t xml:space="preserve"> </w:t>
      </w:r>
      <w:r>
        <w:t xml:space="preserve">(</w:t>
      </w:r>
      <w:r>
        <w:rPr>
          <w:rStyle w:val="VerbatimChar"/>
        </w:rPr>
        <w:t xml:space="preserve">om_no=0,30</w:t>
      </w:r>
      <w:r>
        <w:t xml:space="preserve">, a 40%-ból</w:t>
      </w:r>
      <w:r>
        <w:t xml:space="preserve"> </w:t>
      </w:r>
      <w:r>
        <w:t xml:space="preserve">“kb. fele gazdag HtM”</w:t>
      </w:r>
      <w:r>
        <w:t xml:space="preserve"> </w:t>
      </w:r>
      <w:r>
        <w:t xml:space="preserve">logikával levezetve)</w:t>
      </w:r>
      <w:r>
        <w:t xml:space="preserve"> </w:t>
      </w:r>
      <w:r>
        <w:rPr>
          <w:b/>
          <w:bCs/>
        </w:rPr>
        <w:t xml:space="preserve">visszavonva</w:t>
      </w:r>
      <w:r>
        <w:t xml:space="preserve">: a hivatkozott HANK-irodalom szerint a</w:t>
      </w:r>
      <w:r>
        <w:t xml:space="preserve"> </w:t>
      </w:r>
      <w:r>
        <w:t xml:space="preserve">“gazdag”</w:t>
      </w:r>
      <w:r>
        <w:t xml:space="preserve"> </w:t>
      </w:r>
      <w:r>
        <w:t xml:space="preserve">HtM</w:t>
      </w:r>
      <w:r>
        <w:t xml:space="preserve"> </w:t>
      </w:r>
      <w:r>
        <w:t xml:space="preserve">csoport NAGYOBB, kb. a</w:t>
      </w:r>
      <w:r>
        <w:t xml:space="preserve"> </w:t>
      </w:r>
      <w:r>
        <w:t xml:space="preserve">“szegény”</w:t>
      </w:r>
      <w:r>
        <w:t xml:space="preserve"> </w:t>
      </w:r>
      <w:r>
        <w:t xml:space="preserve">csoport kétszerese, nem fele.</w:t>
      </w:r>
      <w:r>
        <w:t xml:space="preserve"> </w:t>
      </w:r>
      <w:r>
        <w:rPr>
          <w:b/>
          <w:bCs/>
        </w:rPr>
        <w:t xml:space="preserve">Kiderült</w:t>
      </w:r>
      <w:r>
        <w:rPr>
          <w:b/>
          <w:bCs/>
        </w:rPr>
        <w:t xml:space="preserve"> </w:t>
      </w:r>
      <w:r>
        <w:rPr>
          <w:b/>
          <w:bCs/>
        </w:rPr>
        <w:t xml:space="preserve">egy harmadik, korábban nem talált érték is</w:t>
      </w:r>
      <w:r>
        <w:t xml:space="preserve">: a</w:t>
      </w:r>
      <w:r>
        <w:t xml:space="preserve"> </w:t>
      </w:r>
      <w:r>
        <w:rPr>
          <w:rStyle w:val="VerbatimChar"/>
        </w:rPr>
        <w:t xml:space="preserve">.mod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 </w:t>
      </w:r>
      <w:r>
        <w:t xml:space="preserve">ága</w:t>
      </w:r>
      <w:r>
        <w:t xml:space="preserve"> </w:t>
      </w:r>
      <w:r>
        <w:rPr>
          <w:rStyle w:val="VerbatimChar"/>
        </w:rPr>
        <w:t xml:space="preserve">om_no=0,160</w:t>
      </w:r>
      <w:r>
        <w:t xml:space="preserve">-t tartalmaz (</w:t>
      </w:r>
      <w:r>
        <w:t xml:space="preserve">“HFCS-viselkedesi proxy”</w:t>
      </w:r>
      <w:r>
        <w:t xml:space="preserve"> </w:t>
      </w:r>
      <w:r>
        <w:t xml:space="preserve">komment).</w:t>
      </w:r>
      <w:r>
        <w:t xml:space="preserve"> </w:t>
      </w:r>
      <w:r>
        <w:rPr>
          <w:b/>
          <w:bCs/>
        </w:rPr>
        <w:t xml:space="preserve">Nyitott</w:t>
      </w:r>
      <w:r>
        <w:rPr>
          <w:b/>
          <w:bCs/>
        </w:rPr>
        <w:t xml:space="preserve"> </w:t>
      </w:r>
      <w:r>
        <w:rPr>
          <w:b/>
          <w:bCs/>
        </w:rPr>
        <w:t xml:space="preserve">marad: 0,16 (</w:t>
      </w:r>
      <w:r>
        <w:rPr>
          <w:rStyle w:val="VerbatimChar"/>
          <w:b/>
          <w:bCs/>
        </w:rPr>
        <w:t xml:space="preserve">CALIB26</w:t>
      </w:r>
      <w:r>
        <w:rPr>
          <w:b/>
          <w:bCs/>
        </w:rPr>
        <w:t xml:space="preserve">-HFCS) / 0,25 (JV) / ~0,40 (Boldizsár et al., felső</w:t>
      </w:r>
      <w:r>
        <w:rPr>
          <w:b/>
          <w:bCs/>
        </w:rPr>
        <w:t xml:space="preserve"> </w:t>
      </w:r>
      <w:r>
        <w:rPr>
          <w:b/>
          <w:bCs/>
        </w:rPr>
        <w:t xml:space="preserve">sáv) között</w:t>
      </w:r>
      <w:r>
        <w:t xml:space="preserve"> </w:t>
      </w:r>
      <w:r>
        <w:t xml:space="preserve">— nem adunk pontbecslést.</w:t>
      </w:r>
    </w:p>
    <w:p>
      <w:pPr>
        <w:pStyle w:val="BodyText"/>
      </w:pPr>
      <w:r>
        <w:rPr>
          <w:b/>
          <w:bCs/>
        </w:rPr>
        <w:t xml:space="preserve">Megbízhatóság: NYITOTT.</w:t>
      </w:r>
      <w:r>
        <w:t xml:space="preserve"> </w:t>
      </w:r>
      <w:r>
        <w:t xml:space="preserve">Nincs frissebb (2021-es HFCS-hullám alapú),</w:t>
      </w:r>
      <w:r>
        <w:t xml:space="preserve"> </w:t>
      </w:r>
      <w:r>
        <w:t xml:space="preserve">konkrétan Magyarországra publikált cikk ugyanezzel a mutatóval. Ha a</w:t>
      </w:r>
      <w:r>
        <w:t xml:space="preserve"> </w:t>
      </w:r>
      <w:r>
        <w:t xml:space="preserve">csapatnak van hozzáférése az MNB/ECB 2021-es HFCS-mikroadatához, abból</w:t>
      </w:r>
      <w:r>
        <w:t xml:space="preserve"> </w:t>
      </w:r>
      <w:r>
        <w:t xml:space="preserve">közvetlenül számolható lenne egy pontosabb, likviditás-alapú arány.</w:t>
      </w:r>
    </w:p>
    <w:p>
      <w:r>
        <w:pict>
          <v:rect style="width:0;height:1.5pt" o:hralign="center" o:hrstd="t" o:hr="t"/>
        </w:pict>
      </w:r>
    </w:p>
    <w:bookmarkEnd w:id="22"/>
    <w:bookmarkStart w:id="23" w:name="X8a362553d7ae98c56075694a861a9631c969988"/>
    <w:p>
      <w:pPr>
        <w:pStyle w:val="Heading2"/>
      </w:pPr>
      <w:r>
        <w:t xml:space="preserve">12. eps_ces — a három vállalattípus termékeinek helyettesíthetősége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Mennyire helyettesíthetők egymással a típusok termékei a</w:t>
      </w:r>
      <w:r>
        <w:t xml:space="preserve"> </w:t>
      </w:r>
      <w:r>
        <w:t xml:space="preserve">hazai piacon (CES-helyettesítési rugalmasság).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d_E = y_d − eps_ces·p_E (és analóg d_D, d_L)</w:t>
      </w:r>
    </w:p>
    <w:p>
      <w:pPr>
        <w:pStyle w:val="FirstParagraph"/>
      </w:pPr>
      <w:r>
        <w:rPr>
          <w:b/>
          <w:bCs/>
        </w:rPr>
        <w:t xml:space="preserve">Kiszámítás módja.</w:t>
      </w:r>
      <w:r>
        <w:t xml:space="preserve"> </w:t>
      </w:r>
      <w:r>
        <w:t xml:space="preserve">Nincs saját Opten-számítás (ez egy keresleti</w:t>
      </w:r>
      <w:r>
        <w:t xml:space="preserve"> </w:t>
      </w:r>
      <w:r>
        <w:t xml:space="preserve">rugalmassági paraméter, nem cégszintű mérlegadatból azonosítható).</w:t>
      </w:r>
      <w:r>
        <w:t xml:space="preserve"> </w:t>
      </w:r>
      <w:r>
        <w:t xml:space="preserve">Célzott keresés (2020 utáni, teljes, becsült magyar DSGE-modellre) nem</w:t>
      </w:r>
      <w:r>
        <w:t xml:space="preserve"> </w:t>
      </w:r>
      <w:r>
        <w:t xml:space="preserve">talált frissebb forrást.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(JV 2008/9) marad. Kontextus: 6/(6−1)=1,2, azaz 20%</w:t>
      </w:r>
      <w:r>
        <w:t xml:space="preserve"> </w:t>
      </w:r>
      <w:r>
        <w:t xml:space="preserve">árrés a határköltség fölött; az export-KKV kibocsátásának előjele ezen</w:t>
      </w:r>
      <w:r>
        <w:t xml:space="preserve"> </w:t>
      </w:r>
      <w:r>
        <w:t xml:space="preserve">a paraméteren fordul át, kb. 2,3-nál.</w:t>
      </w:r>
    </w:p>
    <w:p>
      <w:pPr>
        <w:pStyle w:val="BodyText"/>
      </w:pPr>
      <w:r>
        <w:rPr>
          <w:b/>
          <w:bCs/>
        </w:rPr>
        <w:t xml:space="preserve">Megbízhatóság: KÖZEPES (irodalmi horgony, nincs frissebb alternatíva).</w:t>
      </w:r>
      <w:r>
        <w:t xml:space="preserve"> </w:t>
      </w:r>
      <w:r>
        <w:t xml:space="preserve">A JV(2008/9) marad az egyetlen releváns magyar forrás.</w:t>
      </w:r>
    </w:p>
    <w:p>
      <w:r>
        <w:pict>
          <v:rect style="width:0;height:1.5pt" o:hralign="center" o:hrstd="t" o:hr="t"/>
        </w:pict>
      </w:r>
    </w:p>
    <w:bookmarkEnd w:id="23"/>
    <w:bookmarkStart w:id="24" w:name="X66ebd291af50fd3127c66831183a1f6455a232d"/>
    <w:p>
      <w:pPr>
        <w:pStyle w:val="Heading2"/>
      </w:pPr>
      <w:r>
        <w:t xml:space="preserve">13. theta_w — a bér-Phillips-görbe meredekségét befolyásoló paraméter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 munkakínálat-rugalmasság és a bér-Calvo-paraméter</w:t>
      </w:r>
      <w:r>
        <w:t xml:space="preserve"> </w:t>
      </w:r>
      <w:r>
        <w:t xml:space="preserve">közötti kapcsolatot skálázó technikai paraméter.</w:t>
      </w:r>
    </w:p>
    <w:p>
      <w:pPr>
        <w:pStyle w:val="BodyText"/>
      </w:pPr>
      <w:r>
        <w:rPr>
          <w:b/>
          <w:bCs/>
        </w:rPr>
        <w:t xml:space="preserve">Szerep a modellben.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lam_w = ((1−xi_w)·(1−beta·xi_w)) / (xi_w·(1+theta_w·fii))</w:t>
      </w:r>
      <w:r>
        <w:t xml:space="preserve"> </w:t>
      </w:r>
      <w:r>
        <w:t xml:space="preserve">derivált Phillips-görbe-meredekségen keresztül</w:t>
      </w:r>
      <w:r>
        <w:t xml:space="preserve"> </w:t>
      </w:r>
      <w:r>
        <w:t xml:space="preserve">hat — csak a</w:t>
      </w:r>
      <w:r>
        <w:t xml:space="preserve"> </w:t>
      </w:r>
      <w:r>
        <w:rPr>
          <w:rStyle w:val="VerbatimChar"/>
        </w:rPr>
        <w:t xml:space="preserve">lam_w</w:t>
      </w:r>
      <w:r>
        <w:t xml:space="preserve"> </w:t>
      </w:r>
      <w:r>
        <w:t xml:space="preserve">meredekségére.</w:t>
      </w:r>
    </w:p>
    <w:p>
      <w:pPr>
        <w:pStyle w:val="BodyText"/>
      </w:pPr>
      <w:r>
        <w:rPr>
          <w:b/>
          <w:bCs/>
        </w:rPr>
        <w:t xml:space="preserve">Kiszámítás módja.</w:t>
      </w:r>
      <w:r>
        <w:t xml:space="preserve"> </w:t>
      </w:r>
      <w:r>
        <w:t xml:space="preserve">Nincs saját Opten-számítás. Nincs frissebb magyar</w:t>
      </w:r>
      <w:r>
        <w:t xml:space="preserve"> </w:t>
      </w:r>
      <w:r>
        <w:t xml:space="preserve">teljes DSGE-becslés.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(JV 2008/9) marad.</w:t>
      </w:r>
    </w:p>
    <w:p>
      <w:pPr>
        <w:pStyle w:val="BodyText"/>
      </w:pPr>
      <w:r>
        <w:rPr>
          <w:b/>
          <w:bCs/>
        </w:rPr>
        <w:t xml:space="preserve">Megbízhatóság: KÖZEPES (irodalmi horgony).</w:t>
      </w:r>
    </w:p>
    <w:p>
      <w:r>
        <w:pict>
          <v:rect style="width:0;height:1.5pt" o:hralign="center" o:hrstd="t" o:hr="t"/>
        </w:pict>
      </w:r>
    </w:p>
    <w:bookmarkEnd w:id="24"/>
    <w:bookmarkStart w:id="25" w:name="X95a402bf8ea31bd55fd845898bcfd771cced702"/>
    <w:p>
      <w:pPr>
        <w:pStyle w:val="Heading2"/>
      </w:pPr>
      <w:r>
        <w:t xml:space="preserve">14. rho_kz — tőke-munka helyettesítési rugalmasság a tényezőkeresletben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 tőke és a munka közötti helyettesítési rugalmasság a</w:t>
      </w:r>
      <w:r>
        <w:t xml:space="preserve"> </w:t>
      </w:r>
      <w:r>
        <w:t xml:space="preserve">típusonkénti tényezőkereslet-egyenletekben.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z_j = rho_kz·zeta_j·(rk_j − wz_j) + y_j − a</w:t>
      </w:r>
      <w:r>
        <w:t xml:space="preserve"> </w:t>
      </w:r>
      <w:r>
        <w:rPr>
          <w:i/>
          <w:iCs/>
        </w:rPr>
        <w:t xml:space="preserve">k_j(−1) = z_j − rho_kz·(rk_j − wz_j)</w:t>
      </w:r>
    </w:p>
    <w:p>
      <w:pPr>
        <w:pStyle w:val="FirstParagraph"/>
      </w:pPr>
      <w:r>
        <w:rPr>
          <w:b/>
          <w:bCs/>
        </w:rPr>
        <w:t xml:space="preserve">Kiszámítás módja.</w:t>
      </w:r>
      <w:r>
        <w:t xml:space="preserve"> </w:t>
      </w:r>
      <w:r>
        <w:t xml:space="preserve">Nincs saját Opten-számítás — statikus cégszintű</w:t>
      </w:r>
      <w:r>
        <w:t xml:space="preserve"> </w:t>
      </w:r>
      <w:r>
        <w:t xml:space="preserve">mérlegadatból nem becsülhető helyettesítési rugalmasság (dinamikus,</w:t>
      </w:r>
      <w:r>
        <w:t xml:space="preserve"> </w:t>
      </w:r>
      <w:r>
        <w:t xml:space="preserve">idősoros azonosítás kellene).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rPr>
          <w:rStyle w:val="VerbatimChar"/>
        </w:rPr>
        <w:t xml:space="preserve">0,8</w:t>
      </w:r>
      <w:r>
        <w:t xml:space="preserve"> </w:t>
      </w:r>
      <w:r>
        <w:t xml:space="preserve">(JV 2008/9) marad.</w:t>
      </w:r>
    </w:p>
    <w:p>
      <w:pPr>
        <w:pStyle w:val="BodyText"/>
      </w:pPr>
      <w:r>
        <w:rPr>
          <w:b/>
          <w:bCs/>
        </w:rPr>
        <w:t xml:space="preserve">Megbízhatóság: KÖZEPES (irodalmi horgony).</w:t>
      </w:r>
    </w:p>
    <w:p>
      <w:r>
        <w:pict>
          <v:rect style="width:0;height:1.5pt" o:hralign="center" o:hrstd="t" o:hr="t"/>
        </w:pict>
      </w:r>
    </w:p>
    <w:bookmarkEnd w:id="25"/>
    <w:bookmarkStart w:id="26" w:name="fii-a-munkakínálat-frisch-rugalmassága"/>
    <w:p>
      <w:pPr>
        <w:pStyle w:val="Heading2"/>
      </w:pPr>
      <w:r>
        <w:t xml:space="preserve">15. fii — a munkakínálat Frisch-rugalmassága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Az intenzív margó munkakínálati rugalmassága.</w:t>
      </w:r>
    </w:p>
    <w:p>
      <w:pPr>
        <w:pStyle w:val="BodyText"/>
      </w:pPr>
      <w:r>
        <w:rPr>
          <w:b/>
          <w:bCs/>
        </w:rPr>
        <w:t xml:space="preserve">Szerep a modellben.</w:t>
      </w:r>
    </w:p>
    <w:p>
      <w:pPr>
        <w:pStyle w:val="BlockText"/>
      </w:pPr>
      <w:r>
        <w:rPr>
          <w:i/>
          <w:iCs/>
        </w:rPr>
        <w:t xml:space="preserve">piw = … + lam_w/(1+beta·vth_w)·(sigma/(1−habit)·(c−habit·c(−1)) + fii·ll − w) + e_w_ar</w:t>
      </w:r>
    </w:p>
    <w:p>
      <w:pPr>
        <w:pStyle w:val="FirstParagraph"/>
      </w:pPr>
      <w:r>
        <w:rPr>
          <w:b/>
          <w:bCs/>
        </w:rPr>
        <w:t xml:space="preserve">Kiszámítás módja.</w:t>
      </w:r>
      <w:r>
        <w:t xml:space="preserve"> </w:t>
      </w:r>
      <w:r>
        <w:t xml:space="preserve">Nincs saját Opten-számítás (háztartási munkakínálati</w:t>
      </w:r>
      <w:r>
        <w:t xml:space="preserve"> </w:t>
      </w:r>
      <w:r>
        <w:t xml:space="preserve">paraméter, nem cégszintű adatból azonosítható).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rPr>
          <w:rStyle w:val="VerbatimChar"/>
        </w:rPr>
        <w:t xml:space="preserve">2,0</w:t>
      </w:r>
      <w:r>
        <w:t xml:space="preserve"> </w:t>
      </w:r>
      <w:r>
        <w:t xml:space="preserve">— a táblázat</w:t>
      </w:r>
      <w:r>
        <w:t xml:space="preserve"> </w:t>
      </w:r>
      <w:r>
        <w:rPr>
          <w:b/>
          <w:bCs/>
        </w:rPr>
        <w:t xml:space="preserve">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“maradjon meg!”</w:t>
      </w:r>
      <w:r>
        <w:t xml:space="preserve">-et ír</w:t>
      </w:r>
      <w:r>
        <w:t xml:space="preserve"> </w:t>
      </w:r>
      <w:r>
        <w:t xml:space="preserve">(Chetty et al. 2011 alapján, jól megalapozott, nemzetközileg széles</w:t>
      </w:r>
      <w:r>
        <w:t xml:space="preserve"> </w:t>
      </w:r>
      <w:r>
        <w:t xml:space="preserve">körben használt horgony).</w:t>
      </w:r>
    </w:p>
    <w:p>
      <w:pPr>
        <w:pStyle w:val="BodyText"/>
      </w:pPr>
      <w:r>
        <w:rPr>
          <w:b/>
          <w:bCs/>
        </w:rPr>
        <w:t xml:space="preserve">Megbízhatóság: MAGAS (explicit, megalapozott irodalmi horgony, nem is</w:t>
      </w:r>
      <w:r>
        <w:rPr>
          <w:b/>
          <w:bCs/>
        </w:rPr>
        <w:t xml:space="preserve"> </w:t>
      </w:r>
      <w:r>
        <w:rPr>
          <w:b/>
          <w:bCs/>
        </w:rPr>
        <w:t xml:space="preserve">kérdőjeleztük meg).</w:t>
      </w:r>
    </w:p>
    <w:p>
      <w:r>
        <w:pict>
          <v:rect style="width:0;height:1.5pt" o:hralign="center" o:hrstd="t" o:hr="t"/>
        </w:pict>
      </w:r>
    </w:p>
    <w:bookmarkEnd w:id="26"/>
    <w:bookmarkStart w:id="27" w:name="nu_uni-technikai-stacionaritási-zárás"/>
    <w:p>
      <w:pPr>
        <w:pStyle w:val="Heading2"/>
      </w:pPr>
      <w:r>
        <w:t xml:space="preserve">16. nu_uni — technikai stacionaritási zárás</w:t>
      </w:r>
    </w:p>
    <w:p>
      <w:pPr>
        <w:pStyle w:val="FirstParagraph"/>
      </w:pPr>
      <w:r>
        <w:rPr>
          <w:b/>
          <w:bCs/>
        </w:rPr>
        <w:t xml:space="preserve">Definíció.</w:t>
      </w:r>
      <w:r>
        <w:t xml:space="preserve"> </w:t>
      </w:r>
      <w:r>
        <w:t xml:space="preserve">Az euró-rezsim NFA-visszacsatolásának technikai</w:t>
      </w:r>
      <w:r>
        <w:t xml:space="preserve"> </w:t>
      </w:r>
      <w:r>
        <w:t xml:space="preserve">együtthatója — nem gazdasági mélyparaméter, hanem a modell</w:t>
      </w:r>
      <w:r>
        <w:t xml:space="preserve"> </w:t>
      </w:r>
      <w:r>
        <w:t xml:space="preserve">megoldhatóságát biztosító stacionaritási zárás.</w:t>
      </w:r>
    </w:p>
    <w:p>
      <w:pPr>
        <w:pStyle w:val="BodyText"/>
      </w:pPr>
      <w:r>
        <w:rPr>
          <w:b/>
          <w:bCs/>
        </w:rPr>
        <w:t xml:space="preserve">Szerep a modellben.</w:t>
      </w:r>
      <w:r>
        <w:t xml:space="preserve"> </w:t>
      </w:r>
      <w:r>
        <w:t xml:space="preserve">Lásd a</w:t>
      </w:r>
      <w:r>
        <w:t xml:space="preserve"> </w:t>
      </w:r>
      <w:r>
        <w:rPr>
          <w:rStyle w:val="VerbatimChar"/>
        </w:rPr>
        <w:t xml:space="preserve">zsov</w:t>
      </w:r>
      <w:r>
        <w:t xml:space="preserve">-nál idézett monetáris záró-</w:t>
      </w:r>
      <w:r>
        <w:t xml:space="preserve"> </w:t>
      </w:r>
      <w:r>
        <w:t xml:space="preserve">egyenletet.</w:t>
      </w:r>
    </w:p>
    <w:p>
      <w:pPr>
        <w:pStyle w:val="BodyText"/>
      </w:pPr>
      <w:r>
        <w:rPr>
          <w:b/>
          <w:bCs/>
        </w:rPr>
        <w:t xml:space="preserve">Kiszámítás módja.</w:t>
      </w:r>
      <w:r>
        <w:t xml:space="preserve"> </w:t>
      </w:r>
      <w:r>
        <w:t xml:space="preserve">A táblázat maga mondja ki, hogy ez technikai</w:t>
      </w:r>
      <w:r>
        <w:t xml:space="preserve"> </w:t>
      </w:r>
      <w:r>
        <w:t xml:space="preserve">horgony — irodalmi horgony keresése fogalmilag nem értelmezhető rá.</w:t>
      </w:r>
    </w:p>
    <w:p>
      <w:pPr>
        <w:pStyle w:val="BodyText"/>
      </w:pPr>
      <w:r>
        <w:rPr>
          <w:b/>
          <w:bCs/>
        </w:rPr>
        <w:t xml:space="preserve">Eredmény.</w:t>
      </w:r>
      <w:r>
        <w:t xml:space="preserve"> </w:t>
      </w:r>
      <w:r>
        <w:rPr>
          <w:rStyle w:val="VerbatimChar"/>
        </w:rPr>
        <w:t xml:space="preserve">0,25</w:t>
      </w:r>
      <w:r>
        <w:t xml:space="preserve">, érzékenységi sáv</w:t>
      </w:r>
      <w:r>
        <w:t xml:space="preserve"> </w:t>
      </w:r>
      <w:r>
        <w:rPr>
          <w:rStyle w:val="VerbatimChar"/>
        </w:rPr>
        <w:t xml:space="preserve">0,1–0,5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Megbízhatóság: MAGAS (technikai paraméter, nem empirikus kérdés).</w:t>
      </w:r>
    </w:p>
    <w:p>
      <w:r>
        <w:br w:type="page"/>
      </w:r>
    </w:p>
    <w:bookmarkEnd w:id="27"/>
    <w:bookmarkEnd w:id="28"/>
    <w:bookmarkStart w:id="29" w:name="összefoglaló-státusztábla"/>
    <w:p>
      <w:pPr>
        <w:pStyle w:val="Heading1"/>
      </w:pPr>
      <w:r>
        <w:t xml:space="preserve">Összefoglaló státusztábla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Paraméter</w:t>
            </w:r>
          </w:p>
        </w:tc>
        <w:tc>
          <w:tcPr/>
          <w:p>
            <w:pPr>
              <w:pStyle w:val="Compact"/>
            </w:pPr>
            <w:r>
              <w:t xml:space="preserve">Kategória</w:t>
            </w:r>
          </w:p>
        </w:tc>
        <w:tc>
          <w:tcPr/>
          <w:p>
            <w:pPr>
              <w:pStyle w:val="Compact"/>
            </w:pPr>
            <w:r>
              <w:t xml:space="preserve">Jelenlegi érték/sáv</w:t>
            </w:r>
          </w:p>
        </w:tc>
        <w:tc>
          <w:tcPr/>
          <w:p>
            <w:pPr>
              <w:pStyle w:val="Compact"/>
            </w:pPr>
            <w:r>
              <w:t xml:space="preserve">Megbízhatóság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omega_nw</w:t>
            </w:r>
          </w:p>
        </w:tc>
        <w:tc>
          <w:tcPr/>
          <w:p>
            <w:pPr>
              <w:pStyle w:val="Compact"/>
            </w:pPr>
            <w:r>
              <w:t xml:space="preserve">Pénzügyi akcelerátor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chi_E,D,L</w:t>
            </w:r>
          </w:p>
        </w:tc>
        <w:tc>
          <w:tcPr/>
          <w:p>
            <w:pPr>
              <w:pStyle w:val="Compact"/>
            </w:pPr>
            <w:r>
              <w:t xml:space="preserve">Pénzügyi akcelerátor</w:t>
            </w:r>
          </w:p>
        </w:tc>
        <w:tc>
          <w:tcPr/>
          <w:p>
            <w:pPr>
              <w:pStyle w:val="Compact"/>
            </w:pPr>
            <w:r>
              <w:t xml:space="preserve">0,04 (javaslat) / 0,06,0,06,0,02 (eredeti)</w:t>
            </w:r>
          </w:p>
        </w:tc>
        <w:tc>
          <w:tcPr/>
          <w:p>
            <w:pPr>
              <w:pStyle w:val="Compact"/>
            </w:pPr>
            <w:r>
              <w:t xml:space="preserve">Alacsony/nyitott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lambda_acc_E,D</w:t>
            </w:r>
          </w:p>
        </w:tc>
        <w:tc>
          <w:tcPr/>
          <w:p>
            <w:pPr>
              <w:pStyle w:val="Compact"/>
            </w:pPr>
            <w:r>
              <w:t xml:space="preserve">Hozzáférési csatorna</w:t>
            </w:r>
          </w:p>
        </w:tc>
        <w:tc>
          <w:tcPr/>
          <w:p>
            <w:pPr>
              <w:pStyle w:val="Compact"/>
            </w:pPr>
            <w:r>
              <w:t xml:space="preserve">1,5–2,5 (irányjelzett)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omega_acc_E,D</w:t>
            </w:r>
          </w:p>
        </w:tc>
        <w:tc>
          <w:tcPr/>
          <w:p>
            <w:pPr>
              <w:pStyle w:val="Compact"/>
            </w:pPr>
            <w:r>
              <w:t xml:space="preserve">Hozzáférési csatorna</w:t>
            </w:r>
          </w:p>
        </w:tc>
        <w:tc>
          <w:tcPr/>
          <w:p>
            <w:pPr>
              <w:pStyle w:val="Compact"/>
            </w:pPr>
            <w:r>
              <w:t xml:space="preserve">0,35/0,45 (irányjelzett)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psi_E,D</w:t>
            </w:r>
          </w:p>
        </w:tc>
        <w:tc>
          <w:tcPr/>
          <w:p>
            <w:pPr>
              <w:pStyle w:val="Compact"/>
            </w:pPr>
            <w:r>
              <w:t xml:space="preserve">Pénzügyi akcelerátor</w:t>
            </w:r>
          </w:p>
        </w:tc>
        <w:tc>
          <w:tcPr/>
          <w:p>
            <w:pPr>
              <w:pStyle w:val="Compact"/>
            </w:pPr>
            <w:r>
              <w:t xml:space="preserve">8/8 (marad), irány D&lt;E&lt;L jelezve</w:t>
            </w:r>
          </w:p>
        </w:tc>
        <w:tc>
          <w:tcPr/>
          <w:p>
            <w:pPr>
              <w:pStyle w:val="Compact"/>
            </w:pPr>
            <w:r>
              <w:t xml:space="preserve">Alacsony/csak irány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tsov_E,D,L</w:t>
            </w:r>
          </w:p>
        </w:tc>
        <w:tc>
          <w:tcPr/>
          <w:p>
            <w:pPr>
              <w:pStyle w:val="Compact"/>
            </w:pPr>
            <w:r>
              <w:t xml:space="preserve">Prémium-transzmisszió</w:t>
            </w:r>
          </w:p>
        </w:tc>
        <w:tc>
          <w:tcPr/>
          <w:p>
            <w:pPr>
              <w:pStyle w:val="Compact"/>
            </w:pPr>
            <w:r>
              <w:t xml:space="preserve">0,025 (CALIB26) / 0,175 (alapért.)</w:t>
            </w:r>
          </w:p>
        </w:tc>
        <w:tc>
          <w:tcPr/>
          <w:p>
            <w:pPr>
              <w:pStyle w:val="Compact"/>
            </w:pPr>
            <w:r>
              <w:t xml:space="preserve">Nyitott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tbank_E,D,L</w:t>
            </w:r>
          </w:p>
        </w:tc>
        <w:tc>
          <w:tcPr/>
          <w:p>
            <w:pPr>
              <w:pStyle w:val="Compact"/>
            </w:pPr>
            <w:r>
              <w:t xml:space="preserve">Prémium-transzmisszió</w:t>
            </w:r>
          </w:p>
        </w:tc>
        <w:tc>
          <w:tcPr/>
          <w:p>
            <w:pPr>
              <w:pStyle w:val="Compact"/>
            </w:pPr>
            <w:r>
              <w:t xml:space="preserve">0,85/0,85/1,05 (CALIB26) / 0,45 (alapért.)</w:t>
            </w:r>
          </w:p>
        </w:tc>
        <w:tc>
          <w:tcPr/>
          <w:p>
            <w:pPr>
              <w:pStyle w:val="Compact"/>
            </w:pPr>
            <w:r>
              <w:t xml:space="preserve">Alacsony/csak irány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zsov</w:t>
            </w:r>
          </w:p>
        </w:tc>
        <w:tc>
          <w:tcPr/>
          <w:p>
            <w:pPr>
              <w:pStyle w:val="Compact"/>
            </w:pPr>
            <w:r>
              <w:t xml:space="preserve">Prémium-transzmisszió</w:t>
            </w:r>
          </w:p>
        </w:tc>
        <w:tc>
          <w:tcPr/>
          <w:p>
            <w:pPr>
              <w:pStyle w:val="Compact"/>
            </w:pPr>
            <w:r>
              <w:t xml:space="preserve">0,5/1,5/2,5 sáv</w:t>
            </w:r>
          </w:p>
        </w:tc>
        <w:tc>
          <w:tcPr/>
          <w:p>
            <w:pPr>
              <w:pStyle w:val="Compact"/>
            </w:pPr>
            <w:r>
              <w:t xml:space="preserve">Nyitott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s_kkv</w:t>
            </w:r>
          </w:p>
        </w:tc>
        <w:tc>
          <w:tcPr/>
          <w:p>
            <w:pPr>
              <w:pStyle w:val="Compact"/>
            </w:pPr>
            <w:r>
              <w:t xml:space="preserve">Vertikális lánc</w:t>
            </w:r>
          </w:p>
        </w:tc>
        <w:tc>
          <w:tcPr/>
          <w:p>
            <w:pPr>
              <w:pStyle w:val="Compact"/>
            </w:pPr>
            <w:r>
              <w:t xml:space="preserve">Nyitott (0,05–0,363 sáv)</w:t>
            </w:r>
          </w:p>
        </w:tc>
        <w:tc>
          <w:tcPr/>
          <w:p>
            <w:pPr>
              <w:pStyle w:val="Compact"/>
            </w:pPr>
            <w:r>
              <w:t xml:space="preserve">Alacsony/nyitott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mu_vert</w:t>
            </w:r>
          </w:p>
        </w:tc>
        <w:tc>
          <w:tcPr/>
          <w:p>
            <w:pPr>
              <w:pStyle w:val="Compact"/>
            </w:pPr>
            <w:r>
              <w:t xml:space="preserve">Vertikális lánc</w:t>
            </w:r>
          </w:p>
        </w:tc>
        <w:tc>
          <w:tcPr/>
          <w:p>
            <w:pPr>
              <w:pStyle w:val="Compact"/>
            </w:pPr>
            <w:r>
              <w:t xml:space="preserve">0,50 (marad)</w:t>
            </w:r>
          </w:p>
        </w:tc>
        <w:tc>
          <w:tcPr/>
          <w:p>
            <w:pPr>
              <w:pStyle w:val="Compact"/>
            </w:pPr>
            <w:r>
              <w:t xml:space="preserve">Alacsony/nyitott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om_no</w:t>
            </w:r>
          </w:p>
        </w:tc>
        <w:tc>
          <w:tcPr/>
          <w:p>
            <w:pPr>
              <w:pStyle w:val="Compact"/>
            </w:pPr>
            <w:r>
              <w:t xml:space="preserve">Háztartások</w:t>
            </w:r>
          </w:p>
        </w:tc>
        <w:tc>
          <w:tcPr/>
          <w:p>
            <w:pPr>
              <w:pStyle w:val="Compact"/>
            </w:pPr>
            <w:r>
              <w:t xml:space="preserve">Nyitott (0,16/0,25/~0,40)</w:t>
            </w:r>
          </w:p>
        </w:tc>
        <w:tc>
          <w:tcPr/>
          <w:p>
            <w:pPr>
              <w:pStyle w:val="Compact"/>
            </w:pPr>
            <w:r>
              <w:t xml:space="preserve">Nyitott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eps_ces</w:t>
            </w:r>
          </w:p>
        </w:tc>
        <w:tc>
          <w:tcPr/>
          <w:p>
            <w:pPr>
              <w:pStyle w:val="Compact"/>
            </w:pPr>
            <w:r>
              <w:t xml:space="preserve">Technológia</w:t>
            </w:r>
          </w:p>
        </w:tc>
        <w:tc>
          <w:tcPr/>
          <w:p>
            <w:pPr>
              <w:pStyle w:val="Compact"/>
            </w:pPr>
            <w:r>
              <w:t xml:space="preserve">6 (marad)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theta_w</w:t>
            </w:r>
          </w:p>
        </w:tc>
        <w:tc>
          <w:tcPr/>
          <w:p>
            <w:pPr>
              <w:pStyle w:val="Compact"/>
            </w:pPr>
            <w:r>
              <w:t xml:space="preserve">Technológia</w:t>
            </w:r>
          </w:p>
        </w:tc>
        <w:tc>
          <w:tcPr/>
          <w:p>
            <w:pPr>
              <w:pStyle w:val="Compact"/>
            </w:pPr>
            <w:r>
              <w:t xml:space="preserve">3 (marad)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rho_kz</w:t>
            </w:r>
          </w:p>
        </w:tc>
        <w:tc>
          <w:tcPr/>
          <w:p>
            <w:pPr>
              <w:pStyle w:val="Compact"/>
            </w:pPr>
            <w:r>
              <w:t xml:space="preserve">Technológia</w:t>
            </w:r>
          </w:p>
        </w:tc>
        <w:tc>
          <w:tcPr/>
          <w:p>
            <w:pPr>
              <w:pStyle w:val="Compact"/>
            </w:pPr>
            <w:r>
              <w:t xml:space="preserve">0,8 (marad)</w:t>
            </w:r>
          </w:p>
        </w:tc>
        <w:tc>
          <w:tcPr/>
          <w:p>
            <w:pPr>
              <w:pStyle w:val="Compac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fii</w:t>
            </w:r>
          </w:p>
        </w:tc>
        <w:tc>
          <w:tcPr/>
          <w:p>
            <w:pPr>
              <w:pStyle w:val="Compact"/>
            </w:pPr>
            <w:r>
              <w:t xml:space="preserve">Háztartások</w:t>
            </w:r>
          </w:p>
        </w:tc>
        <w:tc>
          <w:tcPr/>
          <w:p>
            <w:pPr>
              <w:pStyle w:val="Compact"/>
            </w:pPr>
            <w:r>
              <w:t xml:space="preserve">2,0 (marad)</w:t>
            </w:r>
          </w:p>
        </w:tc>
        <w:tc>
          <w:tcPr/>
          <w:p>
            <w:pPr>
              <w:pStyle w:val="Compact"/>
            </w:pPr>
            <w:r>
              <w:t xml:space="preserve">Magas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nu_uni</w:t>
            </w:r>
          </w:p>
        </w:tc>
        <w:tc>
          <w:tcPr/>
          <w:p>
            <w:pPr>
              <w:pStyle w:val="Compact"/>
            </w:pPr>
            <w:r>
              <w:t xml:space="preserve">Technikai zárás</w:t>
            </w:r>
          </w:p>
        </w:tc>
        <w:tc>
          <w:tcPr/>
          <w:p>
            <w:pPr>
              <w:pStyle w:val="Compact"/>
            </w:pPr>
            <w:r>
              <w:t xml:space="preserve">0,25, sáv 0,1–0,5</w:t>
            </w:r>
          </w:p>
        </w:tc>
        <w:tc>
          <w:tcPr/>
          <w:p>
            <w:pPr>
              <w:pStyle w:val="Compact"/>
            </w:pPr>
            <w:r>
              <w:t xml:space="preserve">Magas</w:t>
            </w:r>
          </w:p>
        </w:tc>
      </w:tr>
    </w:tbl>
    <w:bookmarkEnd w:id="29"/>
    <w:bookmarkStart w:id="30" w:name="Xf3ccdee66f626061c17e47b45f265da3287996b"/>
    <w:p>
      <w:pPr>
        <w:pStyle w:val="Heading1"/>
      </w:pPr>
      <w:r>
        <w:t xml:space="preserve">Prioritási sorrend a csapatnak (ha tovább akarunk lépni)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mu_vert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s_kkv</w:t>
      </w:r>
      <w:r>
        <w:t xml:space="preserve"> </w:t>
      </w:r>
      <w:r>
        <w:t xml:space="preserve">— a Borsós–Stancsics (MNB OP 139) hálózati adat</w:t>
      </w:r>
      <w:r>
        <w:t xml:space="preserve"> </w:t>
      </w:r>
      <w:r>
        <w:t xml:space="preserve">létező, aktívan karbantartott MNB-adatbázis,</w:t>
      </w:r>
      <w:r>
        <w:t xml:space="preserve"> </w:t>
      </w:r>
      <w:r>
        <w:t xml:space="preserve">“csak”</w:t>
      </w:r>
      <w:r>
        <w:t xml:space="preserve"> </w:t>
      </w:r>
      <w:r>
        <w:t xml:space="preserve">hozzáférés kell.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lambda_acc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omega_acc</w:t>
      </w:r>
      <w:r>
        <w:rPr>
          <w:b/>
          <w:bCs/>
        </w:rPr>
        <w:t xml:space="preserve"> </w:t>
      </w:r>
      <w:r>
        <w:rPr>
          <w:b/>
          <w:bCs/>
        </w:rPr>
        <w:t xml:space="preserve">export-bontás</w:t>
      </w:r>
      <w:r>
        <w:t xml:space="preserve"> </w:t>
      </w:r>
      <w:r>
        <w:t xml:space="preserve">— kapcsolatfelvétel az</w:t>
      </w:r>
      <w:r>
        <w:t xml:space="preserve"> </w:t>
      </w:r>
      <w:r>
        <w:t xml:space="preserve">Endrész–Harasztosi–Lieli szerzőkkel, vagy NHP-lista–Opten</w:t>
      </w:r>
      <w:r>
        <w:t xml:space="preserve"> </w:t>
      </w:r>
      <w:r>
        <w:t xml:space="preserve">összekapcsolás.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tsov_j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zsov</w:t>
      </w:r>
      <w:r>
        <w:t xml:space="preserve"> </w:t>
      </w:r>
      <w:r>
        <w:t xml:space="preserve">— az adat megvan, de a BUBOR-kollinearitás csak</w:t>
      </w:r>
      <w:r>
        <w:t xml:space="preserve"> </w:t>
      </w:r>
      <w:r>
        <w:t xml:space="preserve">hosszabb idősorral vagy külön sokk-epizóddal oldható meg.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chi_j</w:t>
      </w:r>
      <w:r>
        <w:t xml:space="preserve"> </w:t>
      </w:r>
      <w:r>
        <w:t xml:space="preserve">— csak MNB hitelregiszter-hozzáféréssel oldható meg</w:t>
      </w:r>
      <w:r>
        <w:t xml:space="preserve"> </w:t>
      </w:r>
      <w:r>
        <w:t xml:space="preserve">rendesen.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psi_j</w:t>
      </w:r>
      <w:r>
        <w:rPr>
          <w:b/>
          <w:bCs/>
        </w:rPr>
        <w:t xml:space="preserve"> </w:t>
      </w:r>
      <w:r>
        <w:rPr>
          <w:b/>
          <w:bCs/>
        </w:rPr>
        <w:t xml:space="preserve">strukturális becslés</w:t>
      </w:r>
      <w:r>
        <w:t xml:space="preserve"> </w:t>
      </w:r>
      <w:r>
        <w:t xml:space="preserve">— önálló, nagyobb ökonometriai</w:t>
      </w:r>
      <w:r>
        <w:t xml:space="preserve"> </w:t>
      </w:r>
      <w:r>
        <w:t xml:space="preserve">projekt (GMM egy beruházási Euler-egyenletre).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om_no</w:t>
      </w:r>
      <w:r>
        <w:t xml:space="preserve"> </w:t>
      </w:r>
      <w:r>
        <w:t xml:space="preserve">— 2021-es HFCS-mikroadat hozzáférés esetén pontosítható.</w:t>
      </w:r>
    </w:p>
    <w:p>
      <w:pPr>
        <w:pStyle w:val="Compact"/>
        <w:numPr>
          <w:ilvl w:val="0"/>
          <w:numId w:val="1001"/>
        </w:numPr>
      </w:pPr>
      <w:r>
        <w:t xml:space="preserve">A tisztán irodalmi horgonyú csoport (</w:t>
      </w:r>
      <w:r>
        <w:rPr>
          <w:rStyle w:val="VerbatimChar"/>
        </w:rPr>
        <w:t xml:space="preserve">eps_ces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theta_w</w:t>
      </w:r>
      <w:r>
        <w:t xml:space="preserve">,</w:t>
      </w:r>
      <w:r>
        <w:t xml:space="preserve"> </w:t>
      </w:r>
      <w:r>
        <w:rPr>
          <w:rStyle w:val="VerbatimChar"/>
        </w:rPr>
        <w:t xml:space="preserve">rho_kz</w:t>
      </w:r>
      <w:r>
        <w:t xml:space="preserve">,</w:t>
      </w:r>
      <w:r>
        <w:t xml:space="preserve"> </w:t>
      </w:r>
      <w:r>
        <w:rPr>
          <w:rStyle w:val="VerbatimChar"/>
        </w:rPr>
        <w:t xml:space="preserve">fii</w:t>
      </w:r>
      <w:r>
        <w:t xml:space="preserve">,</w:t>
      </w:r>
      <w:r>
        <w:t xml:space="preserve"> </w:t>
      </w:r>
      <w:r>
        <w:rPr>
          <w:rStyle w:val="VerbatimChar"/>
        </w:rPr>
        <w:t xml:space="preserve">nu_uni</w:t>
      </w:r>
      <w:r>
        <w:t xml:space="preserve">,</w:t>
      </w:r>
      <w:r>
        <w:t xml:space="preserve"> </w:t>
      </w:r>
      <w:r>
        <w:rPr>
          <w:rStyle w:val="VerbatimChar"/>
        </w:rPr>
        <w:t xml:space="preserve">omega_nw</w:t>
      </w:r>
      <w:r>
        <w:t xml:space="preserve">) — nincs teendő.</w:t>
      </w:r>
    </w:p>
    <w:bookmarkEnd w:id="30"/>
    <w:bookmarkStart w:id="31" w:name="fájlok"/>
    <w:p>
      <w:pPr>
        <w:pStyle w:val="Heading1"/>
      </w:pPr>
      <w:r>
        <w:t xml:space="preserve">Fájlok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outputs/2026-09-22_tomi_szakirodalmi_horgonyok.md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..._szakirodalmi_horgonyok_2resz.md</w:t>
      </w:r>
      <w:r>
        <w:t xml:space="preserve"> </w:t>
      </w:r>
      <w:r>
        <w:t xml:space="preserve">— a szakirodalmi keresés teljes</w:t>
      </w:r>
      <w:r>
        <w:t xml:space="preserve"> </w:t>
      </w:r>
      <w:r>
        <w:t xml:space="preserve">dokumentációja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outputs/2026-09-22_tomi_tbank_zsov_kutatas/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tsov_j</w:t>
      </w:r>
      <w:r>
        <w:t xml:space="preserve">/</w:t>
      </w:r>
      <w:r>
        <w:rPr>
          <w:rStyle w:val="VerbatimChar"/>
        </w:rPr>
        <w:t xml:space="preserve">tbank_j</w:t>
      </w:r>
      <w:r>
        <w:t xml:space="preserve">/</w:t>
      </w:r>
      <w:r>
        <w:rPr>
          <w:rStyle w:val="VerbatimChar"/>
        </w:rPr>
        <w:t xml:space="preserve">zsov</w:t>
      </w:r>
      <w:r>
        <w:t xml:space="preserve"> </w:t>
      </w:r>
      <w:r>
        <w:t xml:space="preserve">feltáró számítás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outputs/2026-09-22_tomi_psi_kutatas/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psi_E/D</w:t>
      </w:r>
      <w:r>
        <w:t xml:space="preserve"> </w:t>
      </w:r>
      <w:r>
        <w:t xml:space="preserve">robusztussági elemzés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outputs/2026-09-22_tomi_tovabbi_parameterek_terve.md</w:t>
      </w:r>
      <w:r>
        <w:t xml:space="preserve"> </w:t>
      </w:r>
      <w:r>
        <w:t xml:space="preserve">— a fenti</w:t>
      </w:r>
      <w:r>
        <w:t xml:space="preserve"> </w:t>
      </w:r>
      <w:r>
        <w:t xml:space="preserve">prioritási sorrend részletes indoklása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outputs/2026-09-22_tomi_VEGSO_JAVASLATOK.md</w:t>
      </w:r>
      <w:r>
        <w:t xml:space="preserve"> </w:t>
      </w:r>
      <w:r>
        <w:t xml:space="preserve">— a teljes, 37 tételes</w:t>
      </w:r>
      <w:r>
        <w:t xml:space="preserve"> </w:t>
      </w:r>
      <w:r>
        <w:t xml:space="preserve">státusztábla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Tomi maradék 26 paramétere</dc:title>
  <dc:creator/>
  <cp:keywords/>
  <dcterms:created xsi:type="dcterms:W3CDTF">2026-09-24T14:39:20Z</dcterms:created>
  <dcterms:modified xsi:type="dcterms:W3CDTF">2026-09-24T14:39:20Z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Módszertani összefoglaló — DSGE_mkik projekt, a 13 Opten-számolt tételen kívüli tételek</vt:lpwstr>
  </property>
</Properties>
</file>