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A1DFA" w14:textId="77777777" w:rsidR="0080449D" w:rsidRDefault="00000000">
      <w:pPr>
        <w:spacing w:after="120"/>
        <w:jc w:val="center"/>
      </w:pPr>
      <w:r>
        <w:rPr>
          <w:b/>
          <w:bCs/>
          <w:sz w:val="36"/>
          <w:szCs w:val="36"/>
        </w:rPr>
        <w:t>Az euróbevezetés hatása a magyar KKV-szektor hitelkörnyezetére</w:t>
      </w:r>
    </w:p>
    <w:p w14:paraId="67FCCFD7" w14:textId="77777777" w:rsidR="0080449D" w:rsidRDefault="00000000">
      <w:pPr>
        <w:spacing w:after="360"/>
        <w:jc w:val="center"/>
      </w:pPr>
      <w:r>
        <w:rPr>
          <w:color w:val="555555"/>
          <w:sz w:val="26"/>
          <w:szCs w:val="26"/>
        </w:rPr>
        <w:t>Tervezett DSGE modell — szakmai összefoglaló</w:t>
      </w:r>
    </w:p>
    <w:p w14:paraId="68BE6B02" w14:textId="77777777" w:rsidR="0080449D" w:rsidRDefault="00000000">
      <w:pPr>
        <w:pStyle w:val="Cmsor1"/>
      </w:pPr>
      <w:r>
        <w:t>1. A kutatási kérdés és a megrendelői kontextus</w:t>
      </w:r>
    </w:p>
    <w:p w14:paraId="6C1C07E3" w14:textId="77777777" w:rsidR="0080449D" w:rsidRDefault="00000000">
      <w:pPr>
        <w:spacing w:after="120" w:line="300" w:lineRule="auto"/>
        <w:jc w:val="both"/>
      </w:pPr>
      <w:r>
        <w:t>A tervezett tanulmány az országos iparkamara megrendelésére készül, gazdaságpolitikai döntéshozóknak szóló felkészülő dokumentumként. A megrendelői pozíció: az euróbevezetésnek nettó haszna van a magyar gazdaság számára, de a hatás erősen differenciált, és egyes KKV-szegmensekre veszélyes lehet. A tanulmánynak ezt a pozíciót kell empirikusan megalapoznia és módszertanilag védhetővé tennie.</w:t>
      </w:r>
    </w:p>
    <w:p w14:paraId="0A677958" w14:textId="77777777" w:rsidR="0080449D" w:rsidRDefault="00000000">
      <w:pPr>
        <w:spacing w:after="120" w:line="300" w:lineRule="auto"/>
        <w:jc w:val="both"/>
      </w:pPr>
      <w:r>
        <w:t xml:space="preserve">A modell központi kutatási kérdése: hogyan változik a magyar KKV-szektor hitelkörnyezete az euróbevezetéssel, és ez milyen reálgazdasági hatásokkal jár szegmensenként? Ez tudatos átfókuszálás a korábbi árfolyam-központú megközelítéshez képest. Az árfolyam-fókusz problémája az, hogy egyszeri sokkot modellez, miközben a fő bizonytalansága (a vállalati eurós likviditás, devizahitel-állomány) éppen az, amit nem látunk a rendelkezésre álló adatokban. A hitelkörnyezeti hatás ezzel szemben tartós, mérhető, és pontosan ez az a csatorna, ahol az euróbevezetés legrobusztusabb hatása érvényesül — a horvát </w:t>
      </w:r>
      <w:proofErr w:type="gramStart"/>
      <w:r>
        <w:t>ex-post</w:t>
      </w:r>
      <w:proofErr w:type="gramEnd"/>
      <w:r>
        <w:t xml:space="preserve"> tapasztalat (HNB </w:t>
      </w:r>
      <w:proofErr w:type="spellStart"/>
      <w:r>
        <w:t>Survey</w:t>
      </w:r>
      <w:proofErr w:type="spellEnd"/>
      <w:r>
        <w:t xml:space="preserve"> 28, </w:t>
      </w:r>
      <w:proofErr w:type="spellStart"/>
      <w:r>
        <w:t>Kunovac</w:t>
      </w:r>
      <w:proofErr w:type="spellEnd"/>
      <w:r>
        <w:t xml:space="preserve"> és </w:t>
      </w:r>
      <w:proofErr w:type="spellStart"/>
      <w:r>
        <w:t>Pavić</w:t>
      </w:r>
      <w:proofErr w:type="spellEnd"/>
      <w:r>
        <w:t xml:space="preserve"> 2017) is ezt erősíti meg.</w:t>
      </w:r>
    </w:p>
    <w:p w14:paraId="3EA6CB68" w14:textId="77777777" w:rsidR="0080449D" w:rsidRDefault="00000000">
      <w:pPr>
        <w:spacing w:after="120" w:line="300" w:lineRule="auto"/>
        <w:jc w:val="both"/>
      </w:pPr>
      <w:r>
        <w:t>A kutatási kérdés három alkérdésre bomlik: mennyivel csökkennek a vállalati hitelkamatok az euróbevezetéssel és mely transzmissziós csatornákon keresztül; hogyan oszlik el ez a hatás a KKV-szektor különböző szegmensei (méret, ágazat, régió, kockázati besorolás) között; és milyen aggregált reálgazdasági hatásokra lehet számítani a beruházások, foglalkoztatás és csődvalószínűség dimenziójában. A tanulmány nem azt a kérdést akarja megválaszolni, hogy melyik csatlakozási árfolyam optimális — ezt az ERM-II mechanizmus úgyis adottá teszi, nem szabad politikai döntés.</w:t>
      </w:r>
    </w:p>
    <w:p w14:paraId="1FD63597" w14:textId="77777777" w:rsidR="0080449D" w:rsidRDefault="00000000">
      <w:pPr>
        <w:pStyle w:val="Cmsor1"/>
      </w:pPr>
      <w:r>
        <w:t>2. A modell architektúrája</w:t>
      </w:r>
    </w:p>
    <w:p w14:paraId="77D2AF67" w14:textId="77777777" w:rsidR="0080449D" w:rsidRDefault="00000000">
      <w:pPr>
        <w:spacing w:after="120" w:line="300" w:lineRule="auto"/>
        <w:jc w:val="both"/>
      </w:pPr>
      <w:r>
        <w:t>A javasolt modell egy háromrétegű architektúra: egy kétszektoros (KKV és nagyvállalat) kis nyitott gazdaság új-keynesi DSGE-keret, kiegészítve méretfüggő BGG-féle (</w:t>
      </w:r>
      <w:proofErr w:type="spellStart"/>
      <w:r>
        <w:t>Bernanke</w:t>
      </w:r>
      <w:proofErr w:type="spellEnd"/>
      <w:r>
        <w:t xml:space="preserve">, </w:t>
      </w:r>
      <w:proofErr w:type="spellStart"/>
      <w:r>
        <w:t>Gertler</w:t>
      </w:r>
      <w:proofErr w:type="spellEnd"/>
      <w:r>
        <w:t xml:space="preserve">, </w:t>
      </w:r>
      <w:proofErr w:type="spellStart"/>
      <w:r>
        <w:t>Gilchrist</w:t>
      </w:r>
      <w:proofErr w:type="spellEnd"/>
      <w:r>
        <w:t xml:space="preserve"> 1999) pénzügyi akcelerátor blokkal és heterogén banki transzmissziós csatornával. A modell magját a Békési, Kaszab és Szentmihályi (MNB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 2017/7) magyar EAGLE-keret adja, ami már létezik és magyar adatokon estimált — így nem szükséges nulláról építeni egy alaprendszert.</w:t>
      </w:r>
    </w:p>
    <w:p w14:paraId="68A0028B" w14:textId="77777777" w:rsidR="0080449D" w:rsidRDefault="00000000">
      <w:pPr>
        <w:spacing w:after="120" w:line="300" w:lineRule="auto"/>
        <w:jc w:val="both"/>
      </w:pPr>
      <w:r>
        <w:t>A két vállalati szektor szétválasztása a modell strukturális gerince. A KKV-szektor magasabb külső finanszírozási prémiummal (EFP), korlátozott tőkepiaci hozzáféréssel és érzékenyebb beruházási reakcióval rendelkezik. A nagyvállalati szektor alacsonyabb EFP-vel, tőkepiaci hozzáféréssel és tompított reakcióval. A két szektor a közös munkaerőpiacon és a közös bankrendszeren keresztül kapcsolódik egymáshoz, valamint egy CES-aggregátoron át jut el a végső kibocsátásig.</w:t>
      </w:r>
    </w:p>
    <w:p w14:paraId="5D8E7FB6" w14:textId="77777777" w:rsidR="0080449D" w:rsidRDefault="00000000">
      <w:pPr>
        <w:spacing w:after="120" w:line="300" w:lineRule="auto"/>
        <w:jc w:val="both"/>
      </w:pPr>
      <w:r>
        <w:lastRenderedPageBreak/>
        <w:t>A BGG pénzügyi akcelerátor blokk a modell pénzügyi-reálgazdasági átkötésének a szíve. A logika szerint a külső finanszírozási prémium nem konstans, hanem fordítottan függ a vállalat nettó vagyonától: ha a saját tőke alacsony a hitelállományhoz képest, a bank magasabb prémiumot számít fel. A mi modellünkben ez a mechanizmus aszimmetrikusan működik a két szektorban: a KKV-knál a paraméterek strukturálisan magasabb alapprémiumot és érzékenyebb akcelerátor-hatást adnak. Ezért egy hitelköltség-sokk a KKV-szektorban arányosan nagyobb reálgazdasági hatást generál, mint a nagyvállalati szektorban — endogén módon előállítva azt a heterogenitást, amit empirikusan is várunk.</w:t>
      </w:r>
    </w:p>
    <w:p w14:paraId="3EC65491" w14:textId="77777777" w:rsidR="0080449D" w:rsidRDefault="00000000">
      <w:pPr>
        <w:spacing w:after="120" w:line="300" w:lineRule="auto"/>
        <w:jc w:val="both"/>
      </w:pPr>
      <w:r>
        <w:t xml:space="preserve">A modellben három magyar irodalmi áramlat találkozik, amelyek külön-külön léteznek a hazai szakirodalomban, de együtt még nem kerültek alkalmazásra: a Jakab és Világi (MNB WP 2008/9) magyar estimált DSGE, az Endrész és </w:t>
      </w:r>
      <w:proofErr w:type="spellStart"/>
      <w:r>
        <w:t>Harasztosi</w:t>
      </w:r>
      <w:proofErr w:type="spellEnd"/>
      <w:r>
        <w:t xml:space="preserve"> (MNB WP 2014/1) vállalati mérlegcsatorna-elemzés, és a Békési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(2017) magyar EAGLE. Ez az integráció a tanulmány módszertani hozzáadott értéke, amit egy MNB- vagy PM-szakértői közönség előtt is védhető pozícióvá tesz.</w:t>
      </w:r>
    </w:p>
    <w:p w14:paraId="59A70448" w14:textId="77777777" w:rsidR="0080449D" w:rsidRDefault="00000000">
      <w:pPr>
        <w:pStyle w:val="Cmsor1"/>
      </w:pPr>
      <w:r>
        <w:t>3. A három hitelköltség-csatorna</w:t>
      </w:r>
    </w:p>
    <w:p w14:paraId="775C348A" w14:textId="77777777" w:rsidR="0080449D" w:rsidRDefault="00000000">
      <w:pPr>
        <w:spacing w:after="120" w:line="300" w:lineRule="auto"/>
        <w:jc w:val="both"/>
      </w:pPr>
      <w:r>
        <w:t xml:space="preserve">Az euróbevezetés három különböző csatornán keresztül hat a KKV-hitelkörnyezetre. Ezek nem helyettesítik, hanem kiegészítik egymást, és a modellben strukturálisan szétválasztva jelennek meg, hogy elkerüljük a </w:t>
      </w:r>
      <w:proofErr w:type="spellStart"/>
      <w:r>
        <w:t>duplikációt</w:t>
      </w:r>
      <w:proofErr w:type="spellEnd"/>
      <w:r>
        <w:t>.</w:t>
      </w:r>
    </w:p>
    <w:p w14:paraId="2758920A" w14:textId="77777777" w:rsidR="0080449D" w:rsidRDefault="00000000">
      <w:pPr>
        <w:pStyle w:val="Cmsor2"/>
      </w:pPr>
      <w:r>
        <w:t>3.1. Szuverén kockázati prémium csatorna</w:t>
      </w:r>
    </w:p>
    <w:p w14:paraId="0BE73F82" w14:textId="77777777" w:rsidR="0080449D" w:rsidRDefault="00000000">
      <w:pPr>
        <w:spacing w:after="120" w:line="300" w:lineRule="auto"/>
        <w:jc w:val="both"/>
      </w:pPr>
      <w:r>
        <w:t xml:space="preserve">A magyar 10 éves állampapírhozam jelenleg 6 százalék körüli, miközben a német </w:t>
      </w:r>
      <w:proofErr w:type="spellStart"/>
      <w:r>
        <w:t>Bund</w:t>
      </w:r>
      <w:proofErr w:type="spellEnd"/>
      <w:r>
        <w:t xml:space="preserve"> 2,5 százalék körül mozog. Ez 350 bázispontos szuverén </w:t>
      </w:r>
      <w:proofErr w:type="spellStart"/>
      <w:r>
        <w:t>spread</w:t>
      </w:r>
      <w:proofErr w:type="spellEnd"/>
      <w:r>
        <w:t>. Szlovákia 3,3 százalékot fizet, Horvátország 3,5 százalékot. Ha a magyar prémium szlovák szintre konvergálna, az 250–300 bázispontos csökkenést jelentene; egy konzervatívabb becslés (figyelembe véve a magyar fiskális helyzet különbségét) 150–200 bázispont.</w:t>
      </w:r>
    </w:p>
    <w:p w14:paraId="417C28B5" w14:textId="77777777" w:rsidR="0080449D" w:rsidRDefault="00000000">
      <w:pPr>
        <w:spacing w:after="120" w:line="300" w:lineRule="auto"/>
        <w:jc w:val="both"/>
      </w:pPr>
      <w:r>
        <w:t xml:space="preserve">A szuverén csökkenés azonban nem közvetlenül érkezik a KKV-szektorhoz. A transzmisszió három lépcsőn megy keresztül: a szuverén-banki forrásköltség kapcsolaton (30–60 százalékos átvitel), a banki forrás-kihelyezési kamat kapcsolaton (50–70 százalékos átvitel), és a vállalati méret szerinti differenciáláson. A teljes lánc végén a 200 </w:t>
      </w:r>
      <w:proofErr w:type="spellStart"/>
      <w:r>
        <w:t>bp</w:t>
      </w:r>
      <w:proofErr w:type="spellEnd"/>
      <w:r>
        <w:t xml:space="preserve"> szuverén csökkenésből 40–80 </w:t>
      </w:r>
      <w:proofErr w:type="spellStart"/>
      <w:r>
        <w:t>bp</w:t>
      </w:r>
      <w:proofErr w:type="spellEnd"/>
      <w:r>
        <w:t xml:space="preserve"> érkezik el a KKV-hitelkamatokba ezen a csatornán.</w:t>
      </w:r>
    </w:p>
    <w:p w14:paraId="5332705C" w14:textId="77777777" w:rsidR="0080449D" w:rsidRDefault="00000000">
      <w:pPr>
        <w:pStyle w:val="Cmsor2"/>
      </w:pPr>
      <w:r>
        <w:t>3.2. Bankrendszeri forrásköltség csatorna</w:t>
      </w:r>
    </w:p>
    <w:p w14:paraId="510D53A3" w14:textId="77777777" w:rsidR="0080449D" w:rsidRDefault="00000000">
      <w:pPr>
        <w:spacing w:after="120" w:line="300" w:lineRule="auto"/>
        <w:jc w:val="both"/>
      </w:pPr>
      <w:r>
        <w:t xml:space="preserve">Ez egy önálló csatorna, ami a szuverén hatástól függetlenül érvényesül. Ma egy magyar bank, ha forintban nyújt </w:t>
      </w:r>
      <w:proofErr w:type="gramStart"/>
      <w:r>
        <w:t>hitelt</w:t>
      </w:r>
      <w:proofErr w:type="gramEnd"/>
      <w:r>
        <w:t xml:space="preserve"> de eurós forrást szerez, le kell fedeznie az árfolyamkockázatot. A fedezés költsége (EUR/HUF </w:t>
      </w:r>
      <w:proofErr w:type="spellStart"/>
      <w:r>
        <w:t>swap</w:t>
      </w:r>
      <w:proofErr w:type="spellEnd"/>
      <w:r>
        <w:t>-bázis) jelenleg 50–100 bázispont. Euróbevezetés után ez teljesen eltűnik. Emellett a bankok közvetlen hozzáférést kapnak az eurós betétpiachoz a TARGET2-n keresztül, ami szélesebb és olcsóbb forrást ad.</w:t>
      </w:r>
    </w:p>
    <w:p w14:paraId="074E625E" w14:textId="77777777" w:rsidR="0080449D" w:rsidRDefault="00000000">
      <w:pPr>
        <w:spacing w:after="120" w:line="300" w:lineRule="auto"/>
        <w:jc w:val="both"/>
      </w:pPr>
      <w:r>
        <w:t xml:space="preserve">Ezen a csatornán a banki forrásköltség 30–60 bázisponttal csökken a szuverén hatáson felül, és a transzmisszió 50–70 százalékos — tehát 20–40 </w:t>
      </w:r>
      <w:proofErr w:type="spellStart"/>
      <w:r>
        <w:t>bp</w:t>
      </w:r>
      <w:proofErr w:type="spellEnd"/>
      <w:r>
        <w:t xml:space="preserve"> KKV-hitelkamat-csökkenés. A csatorna empirikus alapja a horvát átállás: a HNB statisztikák szerint a horvát bankrendszer 2023-as forintkamat-konvergenciája részben éppen a </w:t>
      </w:r>
      <w:proofErr w:type="spellStart"/>
      <w:r>
        <w:t>swap</w:t>
      </w:r>
      <w:proofErr w:type="spellEnd"/>
      <w:r>
        <w:t>-bázis eltűnéséből származott.</w:t>
      </w:r>
    </w:p>
    <w:p w14:paraId="652074EE" w14:textId="77777777" w:rsidR="0080449D" w:rsidRDefault="00000000">
      <w:pPr>
        <w:pStyle w:val="Cmsor2"/>
      </w:pPr>
      <w:r>
        <w:lastRenderedPageBreak/>
        <w:t>3.3. Határokon átnyúló hitelezési csatorna</w:t>
      </w:r>
    </w:p>
    <w:p w14:paraId="2932C4ED" w14:textId="77777777" w:rsidR="0080449D" w:rsidRDefault="00000000">
      <w:pPr>
        <w:spacing w:after="120" w:line="300" w:lineRule="auto"/>
        <w:jc w:val="both"/>
      </w:pPr>
      <w:r>
        <w:t>Az euróbevezetéssel elvileg eurózónai bankok megjelennek a magyar KKV-piacon, mert eltűnik a devizakockázat. A régiós tapasztalatok azonban azt mutatják, hogy ez nem történik meg automatikusan: a KKV-hitelezés helyi piaci ismeretet igényel (cégtörténet, ágazati kapcsolatok), amit a határokon át nehéz pótolni. A horvát piacon a csatlakozás után nem jelent meg számottevő külföldi banki belépés.</w:t>
      </w:r>
    </w:p>
    <w:p w14:paraId="1BB9723F" w14:textId="77777777" w:rsidR="0080449D" w:rsidRDefault="00000000">
      <w:pPr>
        <w:spacing w:after="120" w:line="300" w:lineRule="auto"/>
        <w:jc w:val="both"/>
      </w:pPr>
      <w:r>
        <w:t xml:space="preserve">Az empirikus szakirodalom (de </w:t>
      </w:r>
      <w:proofErr w:type="spellStart"/>
      <w:r>
        <w:t>Haas</w:t>
      </w:r>
      <w:proofErr w:type="spellEnd"/>
      <w:r>
        <w:t xml:space="preserve"> és van </w:t>
      </w:r>
      <w:proofErr w:type="spellStart"/>
      <w:r>
        <w:t>Lelyveld</w:t>
      </w:r>
      <w:proofErr w:type="spellEnd"/>
      <w:r>
        <w:t xml:space="preserve"> 2014, ECB Financial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2020) legfeljebb 10–20 bázispontos hatást dokumentál ezen a csatornán a csatlakozás után 3–5 évben. A tanulmány szempontjából a tanulság inkább szakpolitikai: ez a csatorna nem jön magától, de aktív lépésekkel erősíthető (európai KKV-finanszírozási platformokhoz való csatlakozás, információs infrastruktúra).</w:t>
      </w:r>
    </w:p>
    <w:p w14:paraId="34608C91" w14:textId="77777777" w:rsidR="0080449D" w:rsidRDefault="00000000">
      <w:pPr>
        <w:pStyle w:val="Cmsor2"/>
      </w:pPr>
      <w:r>
        <w:t>3.4. Az aggregát hitelköltség-sokk</w:t>
      </w:r>
    </w:p>
    <w:p w14:paraId="76FD5A8F" w14:textId="77777777" w:rsidR="0080449D" w:rsidRDefault="00000000">
      <w:pPr>
        <w:spacing w:after="120" w:line="300" w:lineRule="auto"/>
        <w:jc w:val="both"/>
      </w:pPr>
      <w:r>
        <w:t xml:space="preserve">A három csatorna a modellben nem additív módon adódik össze, mert részben átfednek. Strukturálisan szétválasztva: a szuverén csatorna a kormányzati költségvetési korláton és a bankrendszer forrásköltség-egyenletén keresztül lép be, a bankrendszeri csatorna a </w:t>
      </w:r>
      <w:proofErr w:type="spellStart"/>
      <w:r>
        <w:t>swap</w:t>
      </w:r>
      <w:proofErr w:type="spellEnd"/>
      <w:r>
        <w:t xml:space="preserve">-bázis és az eurós betétpiac új komponensét adja, a határokon átnyúló csatorna pedig a banki verseny paraméterét mozgatja. A három együttesen 65–120 bázispontos KKV-hitelkamat-csökkenést eredményez a középső kockázati besorolásnál, központi becsléssel 80–90 </w:t>
      </w:r>
      <w:proofErr w:type="spellStart"/>
      <w:r>
        <w:t>bp.</w:t>
      </w:r>
      <w:proofErr w:type="spellEnd"/>
    </w:p>
    <w:p w14:paraId="70880F84" w14:textId="77777777" w:rsidR="0080449D" w:rsidRDefault="00000000">
      <w:pPr>
        <w:pStyle w:val="Cmsor1"/>
      </w:pPr>
      <w:r>
        <w:t>4. Adatigény</w:t>
      </w:r>
    </w:p>
    <w:p w14:paraId="2EC826A0" w14:textId="77777777" w:rsidR="0080449D" w:rsidRDefault="00000000">
      <w:pPr>
        <w:spacing w:after="120" w:line="300" w:lineRule="auto"/>
        <w:jc w:val="both"/>
      </w:pPr>
      <w:r>
        <w:t xml:space="preserve">A modell empirikus megalapozásához három forrásból érkezik adat: az </w:t>
      </w:r>
      <w:proofErr w:type="spellStart"/>
      <w:r>
        <w:t>Opten</w:t>
      </w:r>
      <w:proofErr w:type="spellEnd"/>
      <w:r>
        <w:t xml:space="preserve"> vállalati panel, publikusan elérhető MNB és KSH statisztikák, és opcionálisan egy kamarai tagvállalati felmérés.</w:t>
      </w:r>
    </w:p>
    <w:p w14:paraId="4F7EA2B6" w14:textId="77777777" w:rsidR="0080449D" w:rsidRDefault="00000000">
      <w:pPr>
        <w:pStyle w:val="Cmsor2"/>
      </w:pPr>
      <w:r>
        <w:t xml:space="preserve">4.1. Az </w:t>
      </w:r>
      <w:proofErr w:type="spellStart"/>
      <w:r>
        <w:t>Opten</w:t>
      </w:r>
      <w:proofErr w:type="spellEnd"/>
      <w:r>
        <w:t xml:space="preserve"> vállalati panel (2021–2025)</w:t>
      </w:r>
    </w:p>
    <w:p w14:paraId="4835111C" w14:textId="77777777" w:rsidR="0080449D" w:rsidRDefault="00000000">
      <w:pPr>
        <w:spacing w:after="120" w:line="300" w:lineRule="auto"/>
        <w:jc w:val="both"/>
      </w:pPr>
      <w:r>
        <w:t xml:space="preserve">Az </w:t>
      </w:r>
      <w:proofErr w:type="spellStart"/>
      <w:r>
        <w:t>Opten</w:t>
      </w:r>
      <w:proofErr w:type="spellEnd"/>
      <w:r>
        <w:t>-adat a modell mikroökonómiai alapját adja. A vállalati mérleg és eredménykimutatás idősorából közvetlenül számolható: az implicit kamatráta (kamatráfordítás / hitelállomány), ami a vállalati EFP közvetlen mérése; a tőkeintenzitás és a beruházási ráta; az exportárbevétel aránya és az anyagköltség aránya, ami a természetes fedezettség közelítője. A kockázati besorolás idősoros változása a pénzügyi akcelerátor heterogén paramétereinek empirikus azonosítását teszi lehetővé.</w:t>
      </w:r>
    </w:p>
    <w:p w14:paraId="36DE35B7" w14:textId="77777777" w:rsidR="0080449D" w:rsidRDefault="00000000">
      <w:pPr>
        <w:spacing w:after="120" w:line="300" w:lineRule="auto"/>
        <w:jc w:val="both"/>
      </w:pPr>
      <w:r>
        <w:t>A vállalati statikus jellemzők (méret, ágazat, székhely, alapítás éve, tulajdonosi szerkezet) megépítik a szegmentáció dimenzióit. A modell összesen négy dimenzió mentén bontja a KKV-szektort: méret (10–49, 50–249 fő), ágazat (</w:t>
      </w:r>
      <w:proofErr w:type="spellStart"/>
      <w:r>
        <w:t>tradable</w:t>
      </w:r>
      <w:proofErr w:type="spellEnd"/>
      <w:r>
        <w:t xml:space="preserve"> / </w:t>
      </w:r>
      <w:proofErr w:type="gramStart"/>
      <w:r>
        <w:t>non-</w:t>
      </w:r>
      <w:proofErr w:type="spellStart"/>
      <w:r>
        <w:t>tradable</w:t>
      </w:r>
      <w:proofErr w:type="spellEnd"/>
      <w:proofErr w:type="gramEnd"/>
      <w:r>
        <w:t xml:space="preserve"> / mezőgazdaság), régió (NUTS-2 szint), és kockázati besorolás (A–B, C–D). Ez nagyjából 20–30 szegmensre osztja a magyar KKV-populációt, amelyekre külön reálgazdasági hatás-becslések készülnek.</w:t>
      </w:r>
    </w:p>
    <w:p w14:paraId="05BF7F75" w14:textId="77777777" w:rsidR="0080449D" w:rsidRDefault="00000000">
      <w:pPr>
        <w:pStyle w:val="Cmsor2"/>
      </w:pPr>
      <w:r>
        <w:t>4.2. Publikus aggregát adatok</w:t>
      </w:r>
    </w:p>
    <w:p w14:paraId="1E89540B" w14:textId="77777777" w:rsidR="0080449D" w:rsidRDefault="00000000">
      <w:pPr>
        <w:spacing w:after="120" w:line="300" w:lineRule="auto"/>
        <w:jc w:val="both"/>
      </w:pPr>
      <w:r>
        <w:t xml:space="preserve">A DSGE </w:t>
      </w:r>
      <w:proofErr w:type="spellStart"/>
      <w:r>
        <w:t>makropályához</w:t>
      </w:r>
      <w:proofErr w:type="spellEnd"/>
      <w:r>
        <w:t xml:space="preserve"> az </w:t>
      </w:r>
      <w:proofErr w:type="spellStart"/>
      <w:r>
        <w:t>Opten</w:t>
      </w:r>
      <w:proofErr w:type="spellEnd"/>
      <w:r>
        <w:t xml:space="preserve"> 5 éves panelje önmagában nem elég — szükség van hosszabb idősorra. Ezt MNB és KSH publikus adatokból szerezzük be. Az MNB Pénzügyi Stabilitási Jelentés idősoraiból a vállalati hitelkamatok átlaga méret szerint, a banki </w:t>
      </w:r>
      <w:r>
        <w:lastRenderedPageBreak/>
        <w:t xml:space="preserve">forrásszerkezet, az EUR/HUF </w:t>
      </w:r>
      <w:proofErr w:type="spellStart"/>
      <w:r>
        <w:t>swap</w:t>
      </w:r>
      <w:proofErr w:type="spellEnd"/>
      <w:r>
        <w:t xml:space="preserve">-bázis idősora. A KSH nemzeti számláiból az ágazati TFP-idősor, az aggregát beruházási ráta, a foglalkoztatás. A </w:t>
      </w:r>
      <w:proofErr w:type="spellStart"/>
      <w:r>
        <w:t>makropálya</w:t>
      </w:r>
      <w:proofErr w:type="spellEnd"/>
      <w:r>
        <w:t xml:space="preserve"> 2010-től építhető fel ezekből az adatokból.</w:t>
      </w:r>
    </w:p>
    <w:p w14:paraId="1569E7BD" w14:textId="77777777" w:rsidR="0080449D" w:rsidRDefault="00000000">
      <w:pPr>
        <w:pStyle w:val="Cmsor2"/>
      </w:pPr>
      <w:r>
        <w:t>4.3. Hiányzó adatok és proxy-megoldások</w:t>
      </w:r>
    </w:p>
    <w:p w14:paraId="1AEC0AEA" w14:textId="77777777" w:rsidR="0080449D" w:rsidRDefault="00000000">
      <w:pPr>
        <w:spacing w:after="120" w:line="300" w:lineRule="auto"/>
        <w:jc w:val="both"/>
      </w:pPr>
      <w:r>
        <w:t>Vannak olyan kritikus változók, amelyek vállalati szinten nem hozzáférhetők, és proxy-</w:t>
      </w:r>
      <w:proofErr w:type="spellStart"/>
      <w:r>
        <w:t>kkal</w:t>
      </w:r>
      <w:proofErr w:type="spellEnd"/>
      <w:r>
        <w:t xml:space="preserve"> kell közelíteni őket. A hitel devizaneme (forint vagy euró) az MNB belső vállalati hitelregiszteréből volna elérhető, ami nem publikus — Endrész és </w:t>
      </w:r>
      <w:proofErr w:type="spellStart"/>
      <w:r>
        <w:t>Harasztosi</w:t>
      </w:r>
      <w:proofErr w:type="spellEnd"/>
      <w:r>
        <w:t xml:space="preserve"> 2014 használta ezt egy speciális hozzáférés keretében. Proxy-ként a külföldi tulajdonosi jelölés, az exportarány és az ágazati átlagok együtt használhatók. A vállalati pénztartalékok és bankbetétek devizaneme szintén nem látható — itt az exportarány és az anyagköltség-arány kombinációja ad közelítő természetes fedezettség-mutatót. Ezeket a korlátokat a modellben érzékenységi paraméterekként kezeljük.</w:t>
      </w:r>
    </w:p>
    <w:p w14:paraId="6C6B70E5" w14:textId="77777777" w:rsidR="0080449D" w:rsidRDefault="00000000">
      <w:pPr>
        <w:pStyle w:val="Cmsor2"/>
      </w:pPr>
      <w:r>
        <w:t>4.4. Opcionális kamarai felmérés</w:t>
      </w:r>
    </w:p>
    <w:p w14:paraId="70D702BD" w14:textId="77777777" w:rsidR="0080449D" w:rsidRDefault="00000000">
      <w:pPr>
        <w:spacing w:after="120" w:line="300" w:lineRule="auto"/>
        <w:jc w:val="both"/>
      </w:pPr>
      <w:r>
        <w:t xml:space="preserve">Bodnár (MNB </w:t>
      </w:r>
      <w:proofErr w:type="spellStart"/>
      <w:r>
        <w:t>Occasional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 80) 2009-ben felmérés-alapú adatgyűjtést végzett a magyar vállalatok devizakitettségéről. Egy hasonló, 200–500 fős tagvállalati felmérés a kamarán keresztül jelentős kiegészítő adatot adna a hiányzó devizaváltozókról. Ez opcionális, de jelentősen erősítené a tanulmány empirikus megalapozottságát.</w:t>
      </w:r>
    </w:p>
    <w:p w14:paraId="03910F1D" w14:textId="77777777" w:rsidR="0080449D" w:rsidRDefault="00000000">
      <w:pPr>
        <w:pStyle w:val="Cmsor1"/>
      </w:pPr>
      <w:r>
        <w:t>5. Várható eredmények</w:t>
      </w:r>
    </w:p>
    <w:p w14:paraId="6EFD8826" w14:textId="77777777" w:rsidR="0080449D" w:rsidRDefault="00000000">
      <w:pPr>
        <w:spacing w:after="120" w:line="300" w:lineRule="auto"/>
        <w:jc w:val="both"/>
      </w:pPr>
      <w:r>
        <w:t>A modell három pálya összevetését szolgáltatja: az alappálya középső paraméterezéssel, az optimista pálya erős fiskális hitelesség és magas banki transzmisszió mellett, a pesszimista pálya gyenge konvergencia és alacsony transzmisszió mellett. A pályák közötti különbségek megmutatják az érzékenységi sávokat.</w:t>
      </w:r>
    </w:p>
    <w:p w14:paraId="0F5D17FD" w14:textId="77777777" w:rsidR="0080449D" w:rsidRDefault="00000000">
      <w:pPr>
        <w:pStyle w:val="Cmsor2"/>
      </w:pPr>
      <w:r>
        <w:t>5.1. Aggregát makrogazdasági hatások (alappálya)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0"/>
        <w:gridCol w:w="1734"/>
        <w:gridCol w:w="1734"/>
        <w:gridCol w:w="2148"/>
      </w:tblGrid>
      <w:tr w:rsidR="0080449D" w14:paraId="03F6FE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F3E5" w14:textId="77777777" w:rsidR="0080449D" w:rsidRDefault="00000000">
            <w:r>
              <w:rPr>
                <w:b/>
                <w:bCs/>
              </w:rPr>
              <w:t>Változó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24765" w14:textId="77777777" w:rsidR="0080449D" w:rsidRDefault="00000000">
            <w:r>
              <w:rPr>
                <w:b/>
                <w:bCs/>
              </w:rPr>
              <w:t>5 éves hatás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D82B" w14:textId="77777777" w:rsidR="0080449D" w:rsidRDefault="00000000">
            <w:r>
              <w:rPr>
                <w:b/>
                <w:bCs/>
              </w:rPr>
              <w:t>10 éves hatás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6ACFB" w14:textId="77777777" w:rsidR="0080449D" w:rsidRDefault="00000000">
            <w:r>
              <w:rPr>
                <w:b/>
                <w:bCs/>
              </w:rPr>
              <w:t>Megjegyzés</w:t>
            </w:r>
          </w:p>
        </w:tc>
      </w:tr>
      <w:tr w:rsidR="0080449D" w14:paraId="4BD8D0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0B53" w14:textId="77777777" w:rsidR="0080449D" w:rsidRDefault="00000000">
            <w:r>
              <w:t>Aggregát GDP-szint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74013" w14:textId="77777777" w:rsidR="0080449D" w:rsidRDefault="00000000">
            <w:r>
              <w:t>+0,7–1,2%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1F955" w14:textId="77777777" w:rsidR="0080449D" w:rsidRDefault="00000000">
            <w:r>
              <w:t>+1,5–2,0%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2951" w14:textId="77777777" w:rsidR="0080449D" w:rsidRDefault="00000000">
            <w:r>
              <w:t>kumulatív szinthatás</w:t>
            </w:r>
          </w:p>
        </w:tc>
      </w:tr>
      <w:tr w:rsidR="0080449D" w14:paraId="1A752A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0FB27" w14:textId="77777777" w:rsidR="0080449D" w:rsidRDefault="00000000">
            <w:r>
              <w:t>KKV-hitelkamat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F64A" w14:textId="77777777" w:rsidR="0080449D" w:rsidRDefault="00000000">
            <w:r>
              <w:t xml:space="preserve">−80 </w:t>
            </w:r>
            <w:proofErr w:type="spellStart"/>
            <w:r>
              <w:t>bp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36AB" w14:textId="77777777" w:rsidR="0080449D" w:rsidRDefault="00000000">
            <w:r>
              <w:t xml:space="preserve">−90 </w:t>
            </w:r>
            <w:proofErr w:type="spellStart"/>
            <w:r>
              <w:t>bp</w:t>
            </w:r>
            <w:proofErr w:type="spellEnd"/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2A64" w14:textId="77777777" w:rsidR="0080449D" w:rsidRDefault="00000000">
            <w:r>
              <w:t>súlyozott átlag</w:t>
            </w:r>
          </w:p>
        </w:tc>
      </w:tr>
      <w:tr w:rsidR="0080449D" w14:paraId="5A01E5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BC21" w14:textId="77777777" w:rsidR="0080449D" w:rsidRDefault="00000000">
            <w:r>
              <w:t>KKV beruházási ráta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F549" w14:textId="77777777" w:rsidR="0080449D" w:rsidRDefault="00000000">
            <w:r>
              <w:t>+3–5%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0CD4E" w14:textId="77777777" w:rsidR="0080449D" w:rsidRDefault="00000000">
            <w:r>
              <w:t>+4–6%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116BB" w14:textId="77777777" w:rsidR="0080449D" w:rsidRDefault="00000000">
            <w:r>
              <w:t>szegmensenként eltérő</w:t>
            </w:r>
          </w:p>
        </w:tc>
      </w:tr>
      <w:tr w:rsidR="0080449D" w14:paraId="5A79CF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539AC" w14:textId="77777777" w:rsidR="0080449D" w:rsidRDefault="00000000">
            <w:r>
              <w:t>Foglalkoztatás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23867" w14:textId="77777777" w:rsidR="0080449D" w:rsidRDefault="00000000">
            <w:r>
              <w:t>+0,3–0,6%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94BE" w14:textId="77777777" w:rsidR="0080449D" w:rsidRDefault="00000000">
            <w:r>
              <w:t>+0,5–1,0%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92840" w14:textId="77777777" w:rsidR="0080449D" w:rsidRDefault="00000000">
            <w:r>
              <w:t>KKV-szektorban koncentrált</w:t>
            </w:r>
          </w:p>
        </w:tc>
      </w:tr>
      <w:tr w:rsidR="0080449D" w14:paraId="1488F7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A008" w14:textId="77777777" w:rsidR="0080449D" w:rsidRDefault="00000000">
            <w:r>
              <w:t>KKV csődvalószínűség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704F6" w14:textId="77777777" w:rsidR="0080449D" w:rsidRDefault="00000000">
            <w:r>
              <w:t>−15–20%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11BB" w14:textId="77777777" w:rsidR="0080449D" w:rsidRDefault="00000000">
            <w:r>
              <w:t>−20–25%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30DE6" w14:textId="77777777" w:rsidR="0080449D" w:rsidRDefault="00000000">
            <w:r>
              <w:t>C–D besorolásnál</w:t>
            </w:r>
          </w:p>
        </w:tc>
      </w:tr>
      <w:tr w:rsidR="0080449D" w14:paraId="05A569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1F6B1" w14:textId="77777777" w:rsidR="0080449D" w:rsidRDefault="00000000">
            <w:r>
              <w:t>Államadósság/GDP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DE83" w14:textId="77777777" w:rsidR="0080449D" w:rsidRDefault="00000000">
            <w:r>
              <w:t>−1–2 %p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04E1" w14:textId="77777777" w:rsidR="0080449D" w:rsidRDefault="00000000">
            <w:r>
              <w:t>−2–4 %p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21BE9" w14:textId="77777777" w:rsidR="0080449D" w:rsidRDefault="00000000">
            <w:r>
              <w:t>kamatkonvergencia</w:t>
            </w:r>
          </w:p>
        </w:tc>
      </w:tr>
    </w:tbl>
    <w:p w14:paraId="35DC757F" w14:textId="77777777" w:rsidR="0080449D" w:rsidRDefault="0080449D">
      <w:pPr>
        <w:spacing w:after="240"/>
      </w:pPr>
    </w:p>
    <w:p w14:paraId="659453EA" w14:textId="77777777" w:rsidR="0080449D" w:rsidRDefault="00000000">
      <w:pPr>
        <w:pStyle w:val="Cmsor2"/>
      </w:pPr>
      <w:r>
        <w:t>5.2. Heterogén szegmenshatások</w:t>
      </w:r>
    </w:p>
    <w:p w14:paraId="06641C7E" w14:textId="77777777" w:rsidR="0080449D" w:rsidRDefault="00000000">
      <w:pPr>
        <w:spacing w:after="120" w:line="300" w:lineRule="auto"/>
        <w:jc w:val="both"/>
      </w:pPr>
      <w:r>
        <w:lastRenderedPageBreak/>
        <w:t xml:space="preserve">A modell legmarkánsabb </w:t>
      </w:r>
      <w:proofErr w:type="spellStart"/>
      <w:r>
        <w:t>predikciója</w:t>
      </w:r>
      <w:proofErr w:type="spellEnd"/>
      <w:r>
        <w:t xml:space="preserve"> a hatás aszimmetriája. Az A–B kockázati besorolású KKV-k ma 6–8 százalék kamattal kapnak hitelt; a csökkenés 40–60 </w:t>
      </w:r>
      <w:proofErr w:type="spellStart"/>
      <w:r>
        <w:t>bp</w:t>
      </w:r>
      <w:proofErr w:type="spellEnd"/>
      <w:r>
        <w:t xml:space="preserve">, ami relatív értelemben elhanyagolható. A B–C besorolású szegmensben a kamat 9–12 százalékról csökken 80–110 bázisponttal. A C–D besorolásnál a kamat 13–18 százalékról 120–180 </w:t>
      </w:r>
      <w:proofErr w:type="spellStart"/>
      <w:r>
        <w:t>bp-tal</w:t>
      </w:r>
      <w:proofErr w:type="spellEnd"/>
      <w:r>
        <w:t xml:space="preserve"> csökken — ami drámai változás, és ami ma nem </w:t>
      </w:r>
      <w:proofErr w:type="gramStart"/>
      <w:r>
        <w:t>hitelképes</w:t>
      </w:r>
      <w:proofErr w:type="gramEnd"/>
      <w:r>
        <w:t xml:space="preserve"> vagy csak nagyon drágán, az hirtelen elérhetővé válik.</w:t>
      </w:r>
    </w:p>
    <w:p w14:paraId="49A5B124" w14:textId="77777777" w:rsidR="0080449D" w:rsidRDefault="00000000">
      <w:pPr>
        <w:spacing w:after="120" w:line="300" w:lineRule="auto"/>
        <w:jc w:val="both"/>
      </w:pPr>
      <w:r>
        <w:t xml:space="preserve">Méret szerint a hatás csökken a méret növekedésével: a </w:t>
      </w:r>
      <w:proofErr w:type="spellStart"/>
      <w:r>
        <w:t>mikro</w:t>
      </w:r>
      <w:proofErr w:type="spellEnd"/>
      <w:r>
        <w:t xml:space="preserve">- és kisvállalkozásoknál 2–3 százalékos kibocsátási hatás, a közepes szegmensben 1,5–2,5 százalék, a nagyvállalati szegmensben 0,5–1 százalék. Ágazat szerint a tőkeintenzív ágazatok (feldolgozóipar, építőipar, mezőgazdaság) erősebben reagálnak. Régió szerint a felzárkózó térségek (Alföld, Észak-Magyarország) a legnagyobb relatív nyertesek, mert ott a hazai piacra termelő, finanszírozási korlátos KKV-k aránya magasabb. Ez egy </w:t>
      </w:r>
      <w:proofErr w:type="spellStart"/>
      <w:r>
        <w:t>szakpolitikailag</w:t>
      </w:r>
      <w:proofErr w:type="spellEnd"/>
      <w:r>
        <w:t xml:space="preserve"> erős üzenet: az euróbevezetés a felzárkózási politika eszközévé válik.</w:t>
      </w:r>
    </w:p>
    <w:p w14:paraId="748981B9" w14:textId="77777777" w:rsidR="0080449D" w:rsidRDefault="00000000">
      <w:pPr>
        <w:pStyle w:val="Cmsor2"/>
      </w:pPr>
      <w:r>
        <w:t>5.3. Időbeli pálya</w:t>
      </w:r>
    </w:p>
    <w:p w14:paraId="5A4299A1" w14:textId="77777777" w:rsidR="0080449D" w:rsidRDefault="00000000">
      <w:pPr>
        <w:spacing w:after="120" w:line="300" w:lineRule="auto"/>
        <w:jc w:val="both"/>
      </w:pPr>
      <w:r>
        <w:t>A pálya öt szakaszra bomlik. A bejelentési szakasz (csatlakozás előtt 3 évvel) a piaci anticipáció miatt már fokozatos prémiumcsökkenést hoz. Az ERM-II szakaszban (csatlakozás előtt 2 évvel) a kockázat főleg a fenntarthatóság hitelessége; ha gyenge, spekulatív támadás történhet. Az átállási szakaszban (csatlakozás éve) egyszeri negatív hatások vannak — átállási költségek, kerekítési infláció (0,1–0,3 százalék). A normalizálódási szakaszban (csatlakozás után 1–3 év) érkezik a hitelköltség-csatorna teljes hatása, és a BGG-akcelerátor beindul. A tartós szakaszban (3 év után) a hatás stabilizálódik egy magasabb egyensúlyi szinten.</w:t>
      </w:r>
    </w:p>
    <w:p w14:paraId="480CA668" w14:textId="77777777" w:rsidR="0080449D" w:rsidRDefault="00000000">
      <w:pPr>
        <w:pStyle w:val="Cmsor1"/>
      </w:pPr>
      <w:r>
        <w:t>6. Korlátok, figyelmeztetések és érzékenységi elemzés</w:t>
      </w:r>
    </w:p>
    <w:p w14:paraId="2858B35B" w14:textId="77777777" w:rsidR="0080449D" w:rsidRDefault="00000000">
      <w:pPr>
        <w:spacing w:after="120" w:line="300" w:lineRule="auto"/>
        <w:jc w:val="both"/>
      </w:pPr>
      <w:r>
        <w:t>A modell strukturális korlátait és a becslések bizonytalanságait a tanulmányban transzparensen kell kommunikálni. A módszertani megoldás erre az érzékenységi elemzés három pályával — alap, optimista, pesszimista — ami a modell-bizonytalansági sávokat explicit megmutatja.</w:t>
      </w:r>
    </w:p>
    <w:p w14:paraId="6DE58026" w14:textId="77777777" w:rsidR="0080449D" w:rsidRDefault="00000000">
      <w:pPr>
        <w:pStyle w:val="Cmsor2"/>
      </w:pPr>
      <w:r>
        <w:t>6.1. Strukturális korlátok</w:t>
      </w:r>
    </w:p>
    <w:p w14:paraId="187226B2" w14:textId="77777777" w:rsidR="0080449D" w:rsidRDefault="00000000">
      <w:pPr>
        <w:spacing w:after="120" w:line="300" w:lineRule="auto"/>
        <w:jc w:val="both"/>
      </w:pPr>
      <w:r>
        <w:t>A modell nem látja a vállalati szintű devizahitel-állományt, és nem látja a vállalati pénztartalékok devizanemét sem. Ez azt jelenti, hogy a mérlegcsatorna-hatás — amikor az árfolyam változása átértékeli a deviza-adósságot — csak aggregát szinten azonosítható. Proxy-</w:t>
      </w:r>
      <w:proofErr w:type="spellStart"/>
      <w:r>
        <w:t>kkal</w:t>
      </w:r>
      <w:proofErr w:type="spellEnd"/>
      <w:r>
        <w:t xml:space="preserve"> (külföldi tulajdon, exportarány, ágazati átlagok) lehet közelíteni, de bizonyos szegmensekben (például a tisztán hazai piacra termelő, de eurós beszállítóktól vásárló KKV-knál) jelentős bizonytalanság marad. Ezt a tanulmány módszertani fejezetében nyíltan jelezni kell.</w:t>
      </w:r>
    </w:p>
    <w:p w14:paraId="6E433BED" w14:textId="77777777" w:rsidR="0080449D" w:rsidRDefault="00000000">
      <w:pPr>
        <w:spacing w:after="120" w:line="300" w:lineRule="auto"/>
        <w:jc w:val="both"/>
      </w:pPr>
      <w:r>
        <w:t xml:space="preserve">Az időhorizont rövid a vállalati panelben (2021–2025), ami egy COVID utáni, magas inflációs, magas kamatkörnyezetű időszak. Ez torzíthatja a strukturális paraméter-becsléseket, mert egy ennyire sokk-terhelt időszakot kalibrálunk normál egyensúlyi keretként. A megoldás: a kalibrálási paramétereket a magyar irodalom hosszabb idősoros eredményeivel (Jakab és </w:t>
      </w:r>
      <w:r>
        <w:lastRenderedPageBreak/>
        <w:t xml:space="preserve">Világi 2008, Endrész és </w:t>
      </w:r>
      <w:proofErr w:type="spellStart"/>
      <w:r>
        <w:t>Harasztosi</w:t>
      </w:r>
      <w:proofErr w:type="spellEnd"/>
      <w:r>
        <w:t xml:space="preserve"> 2014) ellenőrizzük, és a modellt szenzitív paramétereken keresztül </w:t>
      </w:r>
      <w:proofErr w:type="spellStart"/>
      <w:r>
        <w:t>robosztussági</w:t>
      </w:r>
      <w:proofErr w:type="spellEnd"/>
      <w:r>
        <w:t xml:space="preserve"> tesztnek vetjük alá.</w:t>
      </w:r>
    </w:p>
    <w:p w14:paraId="245ED4F5" w14:textId="77777777" w:rsidR="0080449D" w:rsidRDefault="00000000">
      <w:pPr>
        <w:spacing w:after="120" w:line="300" w:lineRule="auto"/>
        <w:jc w:val="both"/>
      </w:pPr>
      <w:r>
        <w:t xml:space="preserve">A modell nem kezeli az endogén euró-bevezetési időzítést. Azt feltételezzük, hogy a politikai döntés </w:t>
      </w:r>
      <w:proofErr w:type="spellStart"/>
      <w:r>
        <w:t>exogén</w:t>
      </w:r>
      <w:proofErr w:type="spellEnd"/>
      <w:r>
        <w:t xml:space="preserve"> — egy adott időpontban megtörténik. Ha a piacok várakozása szerint ez az időpont eltolódik vagy bizonytalan, a szuverén csatorna anticipációs hatása gyengébb lesz. Ezt az érzékenységi elemzésben egy bejelentési hitelesség paraméterrel kezeljük.</w:t>
      </w:r>
    </w:p>
    <w:p w14:paraId="651C772B" w14:textId="77777777" w:rsidR="0080449D" w:rsidRDefault="00000000">
      <w:pPr>
        <w:pStyle w:val="Cmsor2"/>
      </w:pPr>
      <w:r>
        <w:t>6.2. Az érzékenységi elemzés három pályán</w:t>
      </w:r>
    </w:p>
    <w:p w14:paraId="1014A75B" w14:textId="77777777" w:rsidR="0080449D" w:rsidRDefault="00000000">
      <w:pPr>
        <w:spacing w:after="120" w:line="300" w:lineRule="auto"/>
        <w:jc w:val="both"/>
      </w:pPr>
      <w:r>
        <w:t>Az alappálya 0,7-es fiskális hitelességi paraméterrel, 60 százalékos banki transzmisszióval és változatlan NHP/Széchenyi-program-keretrendszerrel számol. Ez egy konzervatív, de optimista forgatókönyv: feltételezi, hogy az euróbevezetés egy hiteles fiskális konszolidációs program keretében történik.</w:t>
      </w:r>
    </w:p>
    <w:p w14:paraId="036515C5" w14:textId="77777777" w:rsidR="0080449D" w:rsidRDefault="00000000">
      <w:pPr>
        <w:spacing w:after="120" w:line="300" w:lineRule="auto"/>
        <w:jc w:val="both"/>
      </w:pPr>
      <w:r>
        <w:t>Az optimista pálya 0,9-es hitelességgel, 70 százalékos banki transzmisszióval és a támogatott programok átalakítva fennmaradó kerete mellett 2–3 százalékos GDP-hatást ad 10 éves horizonton. Ehhez szükséges egy hiteles konvergencia-bejelentés (a Tisza Párt 2030-as céldátum ilyen lehet, de csak hiteles fiskális pályával együtt), és a GVH aktív versenyfelügyelete a bankszektorban.</w:t>
      </w:r>
    </w:p>
    <w:p w14:paraId="5800D386" w14:textId="77777777" w:rsidR="0080449D" w:rsidRDefault="00000000">
      <w:pPr>
        <w:spacing w:after="120" w:line="300" w:lineRule="auto"/>
        <w:jc w:val="both"/>
      </w:pPr>
      <w:r>
        <w:t>A pesszimista pálya 0,4-es hitelességgel, 40 százalékos banki transzmisszióval és a támogatott programok kiesésével számol. Ebben a forgatókönyvben a GDP-hatás 0,3–0,8 százalékra mérséklődik, és rövid távon (csatlakozás körül) átmenetileg negatív is lehet az átállási költségek miatt. A pesszimista pálya nem irreális forgatókönyv: a görög 2010 utáni tapasztalat éppen ezt mutatja — euró-tagság ellenére drámai prémium-növekedés, ha a piacok nem hisznek a fiskális hitelességben.</w:t>
      </w:r>
    </w:p>
    <w:p w14:paraId="32BF94EC" w14:textId="77777777" w:rsidR="0080449D" w:rsidRDefault="00000000">
      <w:pPr>
        <w:pStyle w:val="Cmsor2"/>
      </w:pPr>
      <w:r>
        <w:t>6.3. Mit nem mond meg a modell</w:t>
      </w:r>
    </w:p>
    <w:p w14:paraId="7AC0E205" w14:textId="77777777" w:rsidR="0080449D" w:rsidRDefault="00000000">
      <w:pPr>
        <w:spacing w:after="120" w:line="300" w:lineRule="auto"/>
        <w:jc w:val="both"/>
      </w:pPr>
      <w:r>
        <w:t xml:space="preserve">A modell nem </w:t>
      </w:r>
      <w:proofErr w:type="gramStart"/>
      <w:r>
        <w:t>ad választ</w:t>
      </w:r>
      <w:proofErr w:type="gramEnd"/>
      <w:r>
        <w:t xml:space="preserve"> arra, hogy mikor csatlakozzon Magyarország — ez politikai, nem </w:t>
      </w:r>
      <w:proofErr w:type="spellStart"/>
      <w:r>
        <w:t>ökonometriai</w:t>
      </w:r>
      <w:proofErr w:type="spellEnd"/>
      <w:r>
        <w:t xml:space="preserve"> kérdés. Nem </w:t>
      </w:r>
      <w:proofErr w:type="gramStart"/>
      <w:r>
        <w:t>ad választ</w:t>
      </w:r>
      <w:proofErr w:type="gramEnd"/>
      <w:r>
        <w:t xml:space="preserve"> arra sem, hogy melyik csatlakozási árfolyam az optimális — ezt az ERM-II mechanizmus a kétéves árfolyam-rögzítés alatt úgyis automatikusan kialakítja. A modell nem foglalkozik a politikai gazdaságtani kérdésekkel (lakossági támogatottság, kormányzati hitelességi különbségek). És a modell nem szolgáltat előrejelzést abszolút GDP-szintekre — csak a tényleges és tényellentétes pálya közötti eltérést.</w:t>
      </w:r>
    </w:p>
    <w:p w14:paraId="54ABD42C" w14:textId="77777777" w:rsidR="0080449D" w:rsidRDefault="00000000">
      <w:pPr>
        <w:pStyle w:val="Cmsor1"/>
      </w:pPr>
      <w:r>
        <w:t>7. Gazdaságpolitikai következtetések</w:t>
      </w:r>
    </w:p>
    <w:p w14:paraId="5EF78DA6" w14:textId="77777777" w:rsidR="0080449D" w:rsidRDefault="00000000">
      <w:pPr>
        <w:spacing w:after="120" w:line="300" w:lineRule="auto"/>
        <w:jc w:val="both"/>
      </w:pPr>
      <w:r>
        <w:t>A modell három fő üzenetet ad, amelyek az iparkamara érdekképviseleti pozíciójához igazodnak.</w:t>
      </w:r>
    </w:p>
    <w:p w14:paraId="5A020833" w14:textId="77777777" w:rsidR="0080449D" w:rsidRDefault="00000000">
      <w:pPr>
        <w:spacing w:after="120" w:line="300" w:lineRule="auto"/>
        <w:jc w:val="both"/>
      </w:pPr>
      <w:r>
        <w:t>Az első üzenet: az euróbevezetésnek tartós, pozitív aggregált hatása van a magyar gazdaságra, de a hatás nem drámai. Egy lassan, 10 év alatt felépülő 1,5–2 százalékos GDP-szintnövekedésről van szó. A horvát, szlovák és balti tapasztalatok ezt erősítik meg. A tanulmány nem szabad, hogy csodaszernek ábrázolja az eurót, mert az hiteltelen pozícióvá válna.</w:t>
      </w:r>
    </w:p>
    <w:p w14:paraId="1B015FC6" w14:textId="77777777" w:rsidR="0080449D" w:rsidRDefault="00000000">
      <w:pPr>
        <w:spacing w:after="120" w:line="300" w:lineRule="auto"/>
        <w:jc w:val="both"/>
      </w:pPr>
      <w:r>
        <w:lastRenderedPageBreak/>
        <w:t xml:space="preserve">A második üzenet: a hatás erősen heterogén, és a leginkább hitelkorlátos magyar KKV-k a legnagyobb nyertesek. A C–D kockázati besorolású szegmens, a </w:t>
      </w:r>
      <w:proofErr w:type="spellStart"/>
      <w:r>
        <w:t>mikro</w:t>
      </w:r>
      <w:proofErr w:type="spellEnd"/>
      <w:r>
        <w:t>- és kisvállalkozások, a felzárkózó régiók — ezek azok a csoportok, ahol a hitelköltség-csökkenés érdemi reálgazdasági javulást hoz. Ez egy felzárkóztatási politikai üzenet: az euróbevezetés nem a már jól teljesítőket erősíti, hanem a finanszírozási korlátok miatt visszatartott szegmenseket szabadítja fel. Az iparkamara érdekképviseleti agendájában ez egy erős, szociálisan is védhető pozíció.</w:t>
      </w:r>
    </w:p>
    <w:p w14:paraId="1EC40134" w14:textId="77777777" w:rsidR="0080449D" w:rsidRDefault="00000000">
      <w:pPr>
        <w:spacing w:after="120" w:line="300" w:lineRule="auto"/>
        <w:jc w:val="both"/>
      </w:pPr>
      <w:r>
        <w:t xml:space="preserve">A harmadik üzenet: a hatás feltételhez kötött. Három feltétel együttes teljesülése kell ahhoz, hogy az alappálya megvalósuljon. Fiskális hitelesség: a piacok el kell, hogy higgyék a konvergencia-pályát; ehhez egy következetes, többéves költségvetési stratégia szükséges. Banki verseny: a GVH-nak aktívan ellenőriznie kell, hogy a banki forrásköltség-csökkenés </w:t>
      </w:r>
      <w:proofErr w:type="spellStart"/>
      <w:r>
        <w:t>átmegyen</w:t>
      </w:r>
      <w:proofErr w:type="spellEnd"/>
      <w:r>
        <w:t xml:space="preserve">-e a KKV-hitelkamatokba; egy koncentrált piacszerkezet mellett ez nem automatikus. Átmeneti politika: az NHP, Széchenyi Kártya és EXIM programok átalakítása fontos, de nem kiesése — ezek mesterségesen tartják alacsonyan a kamatokat egyes szegmenseknek, és ha hirtelen megszűnnek, a természetes csökkenés egy része valójában csak </w:t>
      </w:r>
      <w:proofErr w:type="spellStart"/>
      <w:r>
        <w:t>átstrukturálódás</w:t>
      </w:r>
      <w:proofErr w:type="spellEnd"/>
      <w:r>
        <w:t>.</w:t>
      </w:r>
    </w:p>
    <w:p w14:paraId="606EEC4C" w14:textId="77777777" w:rsidR="0080449D" w:rsidRDefault="00000000">
      <w:pPr>
        <w:pStyle w:val="Cmsor2"/>
      </w:pPr>
      <w:r>
        <w:t>7.1. Konkrét felkészülési javaslatok</w:t>
      </w:r>
    </w:p>
    <w:p w14:paraId="1A6C1998" w14:textId="77777777" w:rsidR="0080449D" w:rsidRDefault="00000000">
      <w:pPr>
        <w:spacing w:after="120" w:line="300" w:lineRule="auto"/>
        <w:jc w:val="both"/>
      </w:pPr>
      <w:r>
        <w:t>Az iparkamara szakpolitikai agendájához a modell három konkrét javaslatot ad. Az első egy átfogó KKV-finanszírozási stratégia kidolgozása az euróbevezetés időhorizontjára. A NHP-szerű támogatott programok európai uniós szabályoknak megfelelő, de fennmaradó átalakítása — különösen a C–D besorolású szegmensben, ahol a természetes piaci hatás is legerősebb, de az átmenet idején külön támogatásra van szükség.</w:t>
      </w:r>
    </w:p>
    <w:p w14:paraId="401EAAF8" w14:textId="77777777" w:rsidR="0080449D" w:rsidRDefault="00000000">
      <w:pPr>
        <w:spacing w:after="120" w:line="300" w:lineRule="auto"/>
        <w:jc w:val="both"/>
      </w:pPr>
      <w:r>
        <w:t>A második javaslat egy aktív banki verseny-felügyeleti kezdeményezés. A magyar bankrendszer koncentrált, és a forrásköltség-csökkenés átvitele nem automatikus. A GVH és az MNB együttes monitorozási rendszerét érdemes kialakítani, ami szegmensenként követi a transzmissziót. Az iparkamara ehhez kérdőíves és panaszbejelentési csatornán keresztül tud információt szolgáltatni.</w:t>
      </w:r>
    </w:p>
    <w:p w14:paraId="7391C242" w14:textId="77777777" w:rsidR="0080449D" w:rsidRDefault="00000000">
      <w:pPr>
        <w:spacing w:after="120" w:line="300" w:lineRule="auto"/>
        <w:jc w:val="both"/>
      </w:pPr>
      <w:r>
        <w:t xml:space="preserve">A harmadik javaslat a határokon átnyúló hitelezési csatorna aktív erősítése. Ez nem jön magától, de eszközei vannak: a kamara segítheti a magyar KKV-k európai hitel-platformokhoz való hozzáférését, információs infrastruktúrát építhet a hitelminősítési átláthatóságra, és a magyar vállalati credit </w:t>
      </w:r>
      <w:proofErr w:type="spellStart"/>
      <w:r>
        <w:t>rating</w:t>
      </w:r>
      <w:proofErr w:type="spellEnd"/>
      <w:r>
        <w:t xml:space="preserve">-piac fejlesztését támogathatja. A modell becslése szerint ez a csatorna jelenleg gyenge, de évi 5–10 </w:t>
      </w:r>
      <w:proofErr w:type="spellStart"/>
      <w:r>
        <w:t>bp</w:t>
      </w:r>
      <w:proofErr w:type="spellEnd"/>
      <w:r>
        <w:t xml:space="preserve"> javulást </w:t>
      </w:r>
      <w:proofErr w:type="gramStart"/>
      <w:r>
        <w:t>hozhatna</w:t>
      </w:r>
      <w:proofErr w:type="gramEnd"/>
      <w:r>
        <w:t xml:space="preserve"> ha aktívan fejlesztenénk.</w:t>
      </w:r>
    </w:p>
    <w:p w14:paraId="1146E810" w14:textId="2E51930A" w:rsidR="0080449D" w:rsidRDefault="0080449D">
      <w:pPr>
        <w:spacing w:after="120" w:line="300" w:lineRule="auto"/>
        <w:jc w:val="both"/>
      </w:pPr>
    </w:p>
    <w:sectPr w:rsidR="008044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D6BDA"/>
    <w:multiLevelType w:val="hybridMultilevel"/>
    <w:tmpl w:val="D4B85356"/>
    <w:lvl w:ilvl="0" w:tplc="914224C2">
      <w:start w:val="1"/>
      <w:numFmt w:val="bullet"/>
      <w:lvlText w:val="●"/>
      <w:lvlJc w:val="left"/>
      <w:pPr>
        <w:ind w:left="720" w:hanging="360"/>
      </w:pPr>
    </w:lvl>
    <w:lvl w:ilvl="1" w:tplc="A90E12C0">
      <w:start w:val="1"/>
      <w:numFmt w:val="bullet"/>
      <w:lvlText w:val="○"/>
      <w:lvlJc w:val="left"/>
      <w:pPr>
        <w:ind w:left="1440" w:hanging="360"/>
      </w:pPr>
    </w:lvl>
    <w:lvl w:ilvl="2" w:tplc="8CF07CD4">
      <w:start w:val="1"/>
      <w:numFmt w:val="bullet"/>
      <w:lvlText w:val="■"/>
      <w:lvlJc w:val="left"/>
      <w:pPr>
        <w:ind w:left="2160" w:hanging="360"/>
      </w:pPr>
    </w:lvl>
    <w:lvl w:ilvl="3" w:tplc="39D2AE60">
      <w:start w:val="1"/>
      <w:numFmt w:val="bullet"/>
      <w:lvlText w:val="●"/>
      <w:lvlJc w:val="left"/>
      <w:pPr>
        <w:ind w:left="2880" w:hanging="360"/>
      </w:pPr>
    </w:lvl>
    <w:lvl w:ilvl="4" w:tplc="22B4B988">
      <w:start w:val="1"/>
      <w:numFmt w:val="bullet"/>
      <w:lvlText w:val="○"/>
      <w:lvlJc w:val="left"/>
      <w:pPr>
        <w:ind w:left="3600" w:hanging="360"/>
      </w:pPr>
    </w:lvl>
    <w:lvl w:ilvl="5" w:tplc="4C441D2C">
      <w:start w:val="1"/>
      <w:numFmt w:val="bullet"/>
      <w:lvlText w:val="■"/>
      <w:lvlJc w:val="left"/>
      <w:pPr>
        <w:ind w:left="4320" w:hanging="360"/>
      </w:pPr>
    </w:lvl>
    <w:lvl w:ilvl="6" w:tplc="65EA21EC">
      <w:start w:val="1"/>
      <w:numFmt w:val="bullet"/>
      <w:lvlText w:val="●"/>
      <w:lvlJc w:val="left"/>
      <w:pPr>
        <w:ind w:left="5040" w:hanging="360"/>
      </w:pPr>
    </w:lvl>
    <w:lvl w:ilvl="7" w:tplc="D2AA3B74">
      <w:start w:val="1"/>
      <w:numFmt w:val="bullet"/>
      <w:lvlText w:val="●"/>
      <w:lvlJc w:val="left"/>
      <w:pPr>
        <w:ind w:left="5760" w:hanging="360"/>
      </w:pPr>
    </w:lvl>
    <w:lvl w:ilvl="8" w:tplc="42C034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75191D"/>
    <w:multiLevelType w:val="hybridMultilevel"/>
    <w:tmpl w:val="26ACE38E"/>
    <w:lvl w:ilvl="0" w:tplc="8386545C">
      <w:start w:val="1"/>
      <w:numFmt w:val="bullet"/>
      <w:lvlText w:val="•"/>
      <w:lvlJc w:val="left"/>
      <w:pPr>
        <w:ind w:left="720" w:hanging="360"/>
      </w:pPr>
    </w:lvl>
    <w:lvl w:ilvl="1" w:tplc="DCC28D6C">
      <w:numFmt w:val="decimal"/>
      <w:lvlText w:val=""/>
      <w:lvlJc w:val="left"/>
    </w:lvl>
    <w:lvl w:ilvl="2" w:tplc="E4F66E26">
      <w:numFmt w:val="decimal"/>
      <w:lvlText w:val=""/>
      <w:lvlJc w:val="left"/>
    </w:lvl>
    <w:lvl w:ilvl="3" w:tplc="1E004B1C">
      <w:numFmt w:val="decimal"/>
      <w:lvlText w:val=""/>
      <w:lvlJc w:val="left"/>
    </w:lvl>
    <w:lvl w:ilvl="4" w:tplc="CCD80356">
      <w:numFmt w:val="decimal"/>
      <w:lvlText w:val=""/>
      <w:lvlJc w:val="left"/>
    </w:lvl>
    <w:lvl w:ilvl="5" w:tplc="3EE2BDFA">
      <w:numFmt w:val="decimal"/>
      <w:lvlText w:val=""/>
      <w:lvlJc w:val="left"/>
    </w:lvl>
    <w:lvl w:ilvl="6" w:tplc="B456E688">
      <w:numFmt w:val="decimal"/>
      <w:lvlText w:val=""/>
      <w:lvlJc w:val="left"/>
    </w:lvl>
    <w:lvl w:ilvl="7" w:tplc="96222E84">
      <w:numFmt w:val="decimal"/>
      <w:lvlText w:val=""/>
      <w:lvlJc w:val="left"/>
    </w:lvl>
    <w:lvl w:ilvl="8" w:tplc="073602D6">
      <w:numFmt w:val="decimal"/>
      <w:lvlText w:val=""/>
      <w:lvlJc w:val="left"/>
    </w:lvl>
  </w:abstractNum>
  <w:num w:numId="1" w16cid:durableId="7989159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49D"/>
    <w:rsid w:val="0009599E"/>
    <w:rsid w:val="004C3B9A"/>
    <w:rsid w:val="0080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C5A8C"/>
  <w15:docId w15:val="{59B2F1AE-4033-4FB3-B96E-4D2828C95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180"/>
      <w:outlineLvl w:val="0"/>
    </w:pPr>
    <w:rPr>
      <w:b/>
      <w:bCs/>
      <w:color w:val="000000"/>
      <w:sz w:val="32"/>
      <w:szCs w:val="32"/>
    </w:rPr>
  </w:style>
  <w:style w:type="paragraph" w:styleId="Cmsor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2395</Words>
  <Characters>16530</Characters>
  <Application>Microsoft Office Word</Application>
  <DocSecurity>0</DocSecurity>
  <Lines>137</Lines>
  <Paragraphs>37</Paragraphs>
  <ScaleCrop>false</ScaleCrop>
  <Company/>
  <LinksUpToDate>false</LinksUpToDate>
  <CharactersWithSpaces>18888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Tamas Matyas-Peter</cp:lastModifiedBy>
  <cp:revision>2</cp:revision>
  <dcterms:created xsi:type="dcterms:W3CDTF">2026-05-15T09:06:00Z</dcterms:created>
  <dcterms:modified xsi:type="dcterms:W3CDTF">2026-05-15T09:09:00Z</dcterms:modified>
</cp:coreProperties>
</file>